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835" w:rsidRPr="00D54F5D" w:rsidRDefault="00B32835" w:rsidP="00B32835">
      <w:pPr>
        <w:spacing w:after="240" w:line="360" w:lineRule="auto"/>
        <w:jc w:val="both"/>
        <w:rPr>
          <w:rFonts w:ascii="Palatino Linotype" w:hAnsi="Palatino Linotype"/>
        </w:rPr>
      </w:pPr>
      <w:r w:rsidRPr="00D54F5D">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y uno de julio de dos mil diecinueve.</w:t>
      </w:r>
    </w:p>
    <w:p w:rsidR="00B32835" w:rsidRPr="00D54F5D" w:rsidRDefault="00B32835" w:rsidP="00B32835">
      <w:pPr>
        <w:spacing w:line="360" w:lineRule="auto"/>
        <w:jc w:val="both"/>
        <w:rPr>
          <w:rFonts w:ascii="Palatino Linotype" w:hAnsi="Palatino Linotype" w:cs="Arial"/>
          <w:lang w:val="es-ES"/>
        </w:rPr>
      </w:pPr>
      <w:r w:rsidRPr="00D54F5D">
        <w:rPr>
          <w:rFonts w:ascii="Palatino Linotype" w:hAnsi="Palatino Linotype"/>
          <w:lang w:val="es-ES"/>
        </w:rPr>
        <w:t xml:space="preserve">VISTO el expediente formado con motivo del recurso de revisión </w:t>
      </w:r>
      <w:r w:rsidRPr="00D54F5D">
        <w:rPr>
          <w:rFonts w:ascii="Palatino Linotype" w:hAnsi="Palatino Linotype"/>
          <w:b/>
          <w:lang w:val="es-ES"/>
        </w:rPr>
        <w:t>03212/INFOEM/IP/RR/2019,</w:t>
      </w:r>
      <w:r w:rsidRPr="00D54F5D">
        <w:rPr>
          <w:rFonts w:ascii="Palatino Linotype" w:hAnsi="Palatino Linotype"/>
          <w:lang w:val="es-ES"/>
        </w:rPr>
        <w:t xml:space="preserve"> interpuesto por el </w:t>
      </w:r>
      <w:r w:rsidRPr="00D54F5D">
        <w:rPr>
          <w:rFonts w:ascii="Palatino Linotype" w:hAnsi="Palatino Linotype"/>
          <w:b/>
          <w:lang w:val="es-ES"/>
        </w:rPr>
        <w:t xml:space="preserve">C. </w:t>
      </w:r>
      <w:r w:rsidR="0028133F" w:rsidRPr="0028133F">
        <w:rPr>
          <w:rFonts w:ascii="Palatino Linotype" w:hAnsi="Palatino Linotype"/>
          <w:b/>
          <w:lang w:val="es-ES_tradnl"/>
        </w:rPr>
        <w:t>XXXXX XXXXX XXXXX</w:t>
      </w:r>
      <w:r w:rsidRPr="00D54F5D">
        <w:rPr>
          <w:rFonts w:ascii="Palatino Linotype" w:hAnsi="Palatino Linotype"/>
          <w:b/>
          <w:lang w:val="es-ES"/>
        </w:rPr>
        <w:t>,</w:t>
      </w:r>
      <w:r w:rsidRPr="00D54F5D">
        <w:rPr>
          <w:rFonts w:ascii="Palatino Linotype" w:hAnsi="Palatino Linotype"/>
          <w:lang w:val="es-ES"/>
        </w:rPr>
        <w:t xml:space="preserve"> en lo sucesivo </w:t>
      </w:r>
      <w:r w:rsidRPr="00D54F5D">
        <w:rPr>
          <w:rFonts w:ascii="Palatino Linotype" w:hAnsi="Palatino Linotype"/>
          <w:b/>
          <w:lang w:val="es-ES"/>
        </w:rPr>
        <w:t>EL RECURRENTE,</w:t>
      </w:r>
      <w:r w:rsidRPr="00D54F5D">
        <w:rPr>
          <w:rFonts w:ascii="Palatino Linotype" w:hAnsi="Palatino Linotype"/>
          <w:lang w:val="es-ES"/>
        </w:rPr>
        <w:t xml:space="preserve"> </w:t>
      </w:r>
      <w:r w:rsidRPr="00D54F5D">
        <w:rPr>
          <w:rFonts w:ascii="Palatino Linotype" w:hAnsi="Palatino Linotype" w:cs="Arial"/>
          <w:lang w:val="es-ES"/>
        </w:rPr>
        <w:t xml:space="preserve">en contra de la respuesta del </w:t>
      </w:r>
      <w:r w:rsidRPr="00D54F5D">
        <w:rPr>
          <w:rFonts w:ascii="Palatino Linotype" w:hAnsi="Palatino Linotype"/>
          <w:b/>
          <w:lang w:val="es-ES_tradnl"/>
        </w:rPr>
        <w:t>Ayuntamiento de Metepec,</w:t>
      </w:r>
      <w:r w:rsidRPr="00D54F5D">
        <w:rPr>
          <w:rFonts w:ascii="Palatino Linotype" w:hAnsi="Palatino Linotype" w:cs="Arial"/>
          <w:lang w:val="es-ES"/>
        </w:rPr>
        <w:t xml:space="preserve"> en lo sucesivo </w:t>
      </w:r>
      <w:r w:rsidRPr="00D54F5D">
        <w:rPr>
          <w:rFonts w:ascii="Palatino Linotype" w:hAnsi="Palatino Linotype" w:cs="Arial"/>
          <w:b/>
          <w:lang w:val="es-ES"/>
        </w:rPr>
        <w:t xml:space="preserve">EL SUJETO OBLIGADO, </w:t>
      </w:r>
      <w:r w:rsidRPr="00D54F5D">
        <w:rPr>
          <w:rFonts w:ascii="Palatino Linotype" w:hAnsi="Palatino Linotype" w:cs="Arial"/>
          <w:lang w:val="es-ES"/>
        </w:rPr>
        <w:t>se procede a dictar la presente resolución con base en lo siguiente:</w:t>
      </w:r>
    </w:p>
    <w:p w:rsidR="00B32835" w:rsidRPr="00D54F5D" w:rsidRDefault="00B32835" w:rsidP="00B32835">
      <w:pPr>
        <w:spacing w:before="240" w:after="120" w:line="360" w:lineRule="auto"/>
        <w:jc w:val="center"/>
        <w:rPr>
          <w:rFonts w:ascii="Palatino Linotype" w:hAnsi="Palatino Linotype"/>
          <w:b/>
          <w:bCs/>
          <w:spacing w:val="60"/>
          <w:sz w:val="28"/>
        </w:rPr>
      </w:pPr>
      <w:r w:rsidRPr="00D54F5D">
        <w:rPr>
          <w:rFonts w:ascii="Palatino Linotype" w:hAnsi="Palatino Linotype"/>
          <w:b/>
          <w:bCs/>
          <w:spacing w:val="60"/>
          <w:sz w:val="28"/>
        </w:rPr>
        <w:t>RESULTANDO</w:t>
      </w:r>
    </w:p>
    <w:p w:rsidR="00B32835" w:rsidRPr="00D54F5D" w:rsidRDefault="00B32835" w:rsidP="00B32835">
      <w:pPr>
        <w:spacing w:before="100" w:beforeAutospacing="1" w:after="100" w:afterAutospacing="1" w:line="360" w:lineRule="auto"/>
        <w:jc w:val="both"/>
        <w:rPr>
          <w:rFonts w:ascii="Palatino Linotype" w:hAnsi="Palatino Linotype" w:cs="Arial"/>
          <w:lang w:val="es-ES"/>
        </w:rPr>
      </w:pPr>
      <w:r w:rsidRPr="00D54F5D">
        <w:rPr>
          <w:rFonts w:ascii="Palatino Linotype" w:hAnsi="Palatino Linotype" w:cs="Arial"/>
          <w:b/>
          <w:sz w:val="28"/>
          <w:szCs w:val="28"/>
          <w:lang w:val="es-ES"/>
        </w:rPr>
        <w:t>I.</w:t>
      </w:r>
      <w:r w:rsidRPr="00D54F5D">
        <w:rPr>
          <w:rFonts w:ascii="Palatino Linotype" w:hAnsi="Palatino Linotype" w:cs="Arial"/>
          <w:b/>
          <w:lang w:val="es-ES"/>
        </w:rPr>
        <w:t xml:space="preserve"> </w:t>
      </w:r>
      <w:r w:rsidRPr="00D54F5D">
        <w:rPr>
          <w:rFonts w:ascii="Palatino Linotype" w:hAnsi="Palatino Linotype" w:cs="Arial"/>
          <w:lang w:val="es-ES"/>
        </w:rPr>
        <w:t xml:space="preserve">En fecha primero de abril de dos mil diecinueve, </w:t>
      </w:r>
      <w:r w:rsidRPr="00D54F5D">
        <w:rPr>
          <w:rFonts w:ascii="Palatino Linotype" w:hAnsi="Palatino Linotype" w:cs="Arial"/>
          <w:b/>
          <w:lang w:val="es-ES"/>
        </w:rPr>
        <w:t>EL RECURRENTE</w:t>
      </w:r>
      <w:r w:rsidRPr="00D54F5D">
        <w:rPr>
          <w:rFonts w:ascii="Palatino Linotype" w:hAnsi="Palatino Linotype" w:cs="Arial"/>
          <w:lang w:val="es-ES"/>
        </w:rPr>
        <w:t xml:space="preserve"> presentó a través del Sistema de Acceso a la Información Mexiquense, en lo subsecuente </w:t>
      </w:r>
      <w:r w:rsidRPr="00D54F5D">
        <w:rPr>
          <w:rFonts w:ascii="Palatino Linotype" w:hAnsi="Palatino Linotype" w:cs="Arial"/>
          <w:b/>
          <w:lang w:val="es-ES"/>
        </w:rPr>
        <w:t>EL SAIMEX</w:t>
      </w:r>
      <w:r w:rsidRPr="00D54F5D">
        <w:rPr>
          <w:rFonts w:ascii="Palatino Linotype" w:hAnsi="Palatino Linotype" w:cs="Arial"/>
          <w:lang w:val="es-ES"/>
        </w:rPr>
        <w:t xml:space="preserve"> ante </w:t>
      </w:r>
      <w:r w:rsidRPr="00D54F5D">
        <w:rPr>
          <w:rFonts w:ascii="Palatino Linotype" w:hAnsi="Palatino Linotype" w:cs="Arial"/>
          <w:b/>
          <w:lang w:val="es-ES"/>
        </w:rPr>
        <w:t>EL SUJETO OBLIGADO</w:t>
      </w:r>
      <w:r w:rsidRPr="00D54F5D">
        <w:rPr>
          <w:rFonts w:ascii="Palatino Linotype" w:hAnsi="Palatino Linotype" w:cs="Arial"/>
          <w:lang w:val="es-ES"/>
        </w:rPr>
        <w:t xml:space="preserve">, </w:t>
      </w:r>
      <w:r w:rsidRPr="00D54F5D">
        <w:rPr>
          <w:rFonts w:ascii="Palatino Linotype" w:hAnsi="Palatino Linotype"/>
          <w:lang w:val="es-ES"/>
        </w:rPr>
        <w:t xml:space="preserve">la solicitud de acceso a información pública, a la que se le asignó el número </w:t>
      </w:r>
      <w:r w:rsidRPr="00D54F5D">
        <w:rPr>
          <w:rFonts w:ascii="Palatino Linotype" w:hAnsi="Palatino Linotype" w:cs="Arial"/>
          <w:b/>
          <w:lang w:val="es-ES"/>
        </w:rPr>
        <w:t xml:space="preserve">00149/METEPEC/IP/2019, </w:t>
      </w:r>
      <w:r w:rsidRPr="00D54F5D">
        <w:rPr>
          <w:rFonts w:ascii="Palatino Linotype" w:hAnsi="Palatino Linotype" w:cs="Arial"/>
          <w:lang w:val="es-ES"/>
        </w:rPr>
        <w:t>mediante la cual se solicitó:</w:t>
      </w:r>
    </w:p>
    <w:p w:rsidR="00B32835" w:rsidRPr="00D54F5D" w:rsidRDefault="00B32835" w:rsidP="00B02142">
      <w:pPr>
        <w:ind w:left="851" w:right="1327"/>
        <w:jc w:val="both"/>
        <w:rPr>
          <w:rFonts w:ascii="Palatino Linotype" w:eastAsiaTheme="minorHAnsi" w:hAnsi="Palatino Linotype" w:cstheme="minorBidi"/>
          <w:i/>
          <w:sz w:val="22"/>
          <w:szCs w:val="20"/>
          <w:lang w:val="es-ES_tradnl" w:eastAsia="es-ES_tradnl"/>
        </w:rPr>
      </w:pPr>
      <w:r w:rsidRPr="00D54F5D">
        <w:rPr>
          <w:rFonts w:ascii="Palatino Linotype" w:eastAsiaTheme="minorHAnsi" w:hAnsi="Palatino Linotype" w:cstheme="minorBidi"/>
          <w:i/>
          <w:color w:val="000000"/>
          <w:sz w:val="22"/>
          <w:szCs w:val="14"/>
          <w:lang w:val="es-ES_tradnl" w:eastAsia="es-ES_tradnl"/>
        </w:rPr>
        <w:t>“FAVOR DE PROPORCIONARME EN FORMATO PDF TODOS LOS PERMISOS OTORGADOS A LOS ANTROS Y BARES DEL CENTRO HISTORICO DE METEPEC A PARTIR DE 2016 A LA FECHA”.</w:t>
      </w:r>
      <w:r w:rsidRPr="00D54F5D">
        <w:rPr>
          <w:rFonts w:ascii="Palatino Linotype" w:hAnsi="Palatino Linotype" w:cs="Arial"/>
          <w:i/>
          <w:sz w:val="22"/>
          <w:szCs w:val="22"/>
          <w:lang w:val="es-ES"/>
        </w:rPr>
        <w:t>(Sic)</w:t>
      </w:r>
    </w:p>
    <w:p w:rsidR="00B32835" w:rsidRPr="00D54F5D" w:rsidRDefault="00B32835" w:rsidP="00B32835">
      <w:pPr>
        <w:spacing w:before="160" w:after="160"/>
        <w:ind w:right="709"/>
        <w:jc w:val="both"/>
        <w:rPr>
          <w:rFonts w:ascii="Palatino Linotype" w:hAnsi="Palatino Linotype"/>
        </w:rPr>
      </w:pPr>
      <w:r w:rsidRPr="00D54F5D">
        <w:rPr>
          <w:rFonts w:ascii="Palatino Linotype" w:hAnsi="Palatino Linotype"/>
          <w:b/>
        </w:rPr>
        <w:t>Modalidad de entrega:</w:t>
      </w:r>
      <w:r w:rsidRPr="00D54F5D">
        <w:rPr>
          <w:rFonts w:ascii="Palatino Linotype" w:hAnsi="Palatino Linotype"/>
          <w:sz w:val="22"/>
          <w:szCs w:val="22"/>
        </w:rPr>
        <w:t xml:space="preserve"> </w:t>
      </w:r>
      <w:r w:rsidRPr="00D54F5D">
        <w:rPr>
          <w:rFonts w:ascii="Palatino Linotype" w:hAnsi="Palatino Linotype"/>
        </w:rPr>
        <w:t>Vía SAIMEX</w:t>
      </w:r>
    </w:p>
    <w:p w:rsidR="00B32835" w:rsidRPr="00D54F5D" w:rsidRDefault="00B32835" w:rsidP="00B32835">
      <w:pPr>
        <w:spacing w:before="100" w:beforeAutospacing="1" w:after="100" w:afterAutospacing="1" w:line="360" w:lineRule="auto"/>
        <w:jc w:val="both"/>
        <w:rPr>
          <w:rFonts w:ascii="Palatino Linotype" w:hAnsi="Palatino Linotype" w:cs="Arial"/>
          <w:lang w:val="es-ES"/>
        </w:rPr>
      </w:pPr>
      <w:r w:rsidRPr="00D54F5D">
        <w:rPr>
          <w:rFonts w:ascii="Palatino Linotype" w:hAnsi="Palatino Linotype" w:cs="Arial"/>
          <w:b/>
          <w:sz w:val="28"/>
          <w:lang w:val="es-ES"/>
        </w:rPr>
        <w:t>II.</w:t>
      </w:r>
      <w:r w:rsidRPr="00D54F5D">
        <w:rPr>
          <w:rFonts w:ascii="Palatino Linotype" w:hAnsi="Palatino Linotype" w:cs="Arial"/>
          <w:lang w:val="es-ES"/>
        </w:rPr>
        <w:t xml:space="preserve"> En cumplimiento al artículo 162 de la Ley de Transparencia y Acceso a la Información Pública del Estado de México y Municipios, </w:t>
      </w:r>
      <w:r w:rsidRPr="00D54F5D">
        <w:rPr>
          <w:rFonts w:ascii="Palatino Linotype" w:hAnsi="Palatino Linotype" w:cs="Arial"/>
          <w:b/>
          <w:lang w:val="es-ES"/>
        </w:rPr>
        <w:t>EL SUJETO OBLIGADO</w:t>
      </w:r>
      <w:r w:rsidRPr="00D54F5D">
        <w:rPr>
          <w:rFonts w:ascii="Palatino Linotype" w:hAnsi="Palatino Linotype" w:cs="Arial"/>
          <w:lang w:val="es-ES"/>
        </w:rPr>
        <w:t xml:space="preserve"> turnó la solicitud al Servidor Público Habilitado que consideró competente a efecto de que realizaran la búsqueda y localización de la información, tal como se desprende a continuación: </w:t>
      </w:r>
    </w:p>
    <w:p w:rsidR="00B32835" w:rsidRPr="00D54F5D" w:rsidRDefault="00B32835" w:rsidP="00B32835">
      <w:pPr>
        <w:spacing w:before="100" w:beforeAutospacing="1" w:after="100" w:afterAutospacing="1" w:line="360" w:lineRule="auto"/>
        <w:jc w:val="center"/>
        <w:rPr>
          <w:rFonts w:ascii="Palatino Linotype" w:hAnsi="Palatino Linotype" w:cs="Arial"/>
          <w:lang w:val="es-ES"/>
        </w:rPr>
      </w:pPr>
      <w:r w:rsidRPr="00D54F5D">
        <w:rPr>
          <w:noProof/>
          <w:lang w:eastAsia="es-MX"/>
        </w:rPr>
        <w:lastRenderedPageBreak/>
        <w:drawing>
          <wp:inline distT="0" distB="0" distL="0" distR="0" wp14:anchorId="0C3CF012" wp14:editId="18D2A202">
            <wp:extent cx="5312348" cy="4923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67" t="39819" r="6413" b="48479"/>
                    <a:stretch/>
                  </pic:blipFill>
                  <pic:spPr bwMode="auto">
                    <a:xfrm>
                      <a:off x="0" y="0"/>
                      <a:ext cx="5413419" cy="501737"/>
                    </a:xfrm>
                    <a:prstGeom prst="rect">
                      <a:avLst/>
                    </a:prstGeom>
                    <a:ln>
                      <a:noFill/>
                    </a:ln>
                    <a:extLst>
                      <a:ext uri="{53640926-AAD7-44D8-BBD7-CCE9431645EC}">
                        <a14:shadowObscured xmlns:a14="http://schemas.microsoft.com/office/drawing/2010/main"/>
                      </a:ext>
                    </a:extLst>
                  </pic:spPr>
                </pic:pic>
              </a:graphicData>
            </a:graphic>
          </wp:inline>
        </w:drawing>
      </w:r>
    </w:p>
    <w:p w:rsidR="00B32835" w:rsidRPr="00D54F5D" w:rsidRDefault="00B32835" w:rsidP="00B32835">
      <w:pPr>
        <w:spacing w:before="100" w:beforeAutospacing="1" w:after="100" w:afterAutospacing="1" w:line="360" w:lineRule="auto"/>
        <w:jc w:val="both"/>
        <w:rPr>
          <w:rFonts w:ascii="Palatino Linotype" w:hAnsi="Palatino Linotype" w:cs="Arial"/>
          <w:lang w:val="es-ES_tradnl"/>
        </w:rPr>
      </w:pPr>
      <w:bookmarkStart w:id="0" w:name="_Ref516764469"/>
      <w:r w:rsidRPr="00D54F5D">
        <w:rPr>
          <w:rFonts w:ascii="Palatino Linotype" w:hAnsi="Palatino Linotype"/>
          <w:b/>
          <w:sz w:val="28"/>
          <w:szCs w:val="28"/>
        </w:rPr>
        <w:t>III.</w:t>
      </w:r>
      <w:r w:rsidRPr="00D54F5D">
        <w:rPr>
          <w:rFonts w:ascii="Palatino Linotype" w:hAnsi="Palatino Linotype"/>
          <w:sz w:val="28"/>
          <w:szCs w:val="28"/>
        </w:rPr>
        <w:t xml:space="preserve"> </w:t>
      </w:r>
      <w:r w:rsidRPr="00D54F5D">
        <w:rPr>
          <w:rFonts w:ascii="Palatino Linotype" w:hAnsi="Palatino Linotype"/>
          <w:lang w:val="es-ES"/>
        </w:rPr>
        <w:t xml:space="preserve">De las constancias que obran en </w:t>
      </w:r>
      <w:r w:rsidRPr="00D54F5D">
        <w:rPr>
          <w:rFonts w:ascii="Palatino Linotype" w:hAnsi="Palatino Linotype"/>
          <w:b/>
          <w:lang w:val="es-ES"/>
        </w:rPr>
        <w:t>EL SAIMEX,</w:t>
      </w:r>
      <w:r w:rsidRPr="00D54F5D">
        <w:rPr>
          <w:rFonts w:ascii="Palatino Linotype" w:hAnsi="Palatino Linotype"/>
          <w:lang w:val="es-ES"/>
        </w:rPr>
        <w:t xml:space="preserve"> se advierte que en fecha veintinueve de abril de dos mil diecinueve, </w:t>
      </w:r>
      <w:r w:rsidRPr="00D54F5D">
        <w:rPr>
          <w:rFonts w:ascii="Palatino Linotype" w:hAnsi="Palatino Linotype" w:cs="Arial"/>
          <w:b/>
          <w:lang w:val="es-ES_tradnl"/>
        </w:rPr>
        <w:t>EL</w:t>
      </w:r>
      <w:r w:rsidRPr="00D54F5D">
        <w:rPr>
          <w:rFonts w:ascii="Palatino Linotype" w:hAnsi="Palatino Linotype" w:cs="Arial"/>
          <w:lang w:val="es-ES_tradnl"/>
        </w:rPr>
        <w:t xml:space="preserve"> </w:t>
      </w:r>
      <w:r w:rsidRPr="00D54F5D">
        <w:rPr>
          <w:rFonts w:ascii="Palatino Linotype" w:hAnsi="Palatino Linotype" w:cs="Arial"/>
          <w:b/>
          <w:lang w:val="es-ES_tradnl"/>
        </w:rPr>
        <w:t>SUJETO OBLIGADO</w:t>
      </w:r>
      <w:r w:rsidRPr="00D54F5D">
        <w:rPr>
          <w:rFonts w:ascii="Palatino Linotype" w:hAnsi="Palatino Linotype" w:cs="Arial"/>
          <w:lang w:val="es-ES_tradnl"/>
        </w:rPr>
        <w:t xml:space="preserve"> dio respuesta a la solicitud de información, en los siguientes términos:</w:t>
      </w:r>
    </w:p>
    <w:p w:rsidR="00B32835" w:rsidRPr="00D54F5D" w:rsidRDefault="00B32835" w:rsidP="00B02142">
      <w:pPr>
        <w:ind w:left="851" w:right="1327"/>
        <w:jc w:val="both"/>
        <w:rPr>
          <w:rFonts w:ascii="Palatino Linotype" w:eastAsiaTheme="minorHAnsi" w:hAnsi="Palatino Linotype" w:cstheme="minorBidi"/>
          <w:i/>
          <w:color w:val="000000"/>
          <w:sz w:val="22"/>
          <w:szCs w:val="14"/>
          <w:lang w:val="es-ES_tradnl" w:eastAsia="es-ES_tradnl"/>
        </w:rPr>
      </w:pPr>
      <w:r w:rsidRPr="00D54F5D">
        <w:rPr>
          <w:rFonts w:ascii="Palatino Linotype" w:eastAsiaTheme="minorHAnsi" w:hAnsi="Palatino Linotype" w:cstheme="minorBidi"/>
          <w:i/>
          <w:color w:val="000000"/>
          <w:sz w:val="22"/>
          <w:szCs w:val="14"/>
          <w:lang w:val="es-ES_tradnl" w:eastAsia="es-ES_tradnl"/>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(Sic)</w:t>
      </w:r>
    </w:p>
    <w:p w:rsidR="00B32835" w:rsidRPr="00D54F5D" w:rsidRDefault="00B32835" w:rsidP="00B32835">
      <w:pPr>
        <w:tabs>
          <w:tab w:val="left" w:pos="1344"/>
        </w:tabs>
        <w:spacing w:before="100" w:beforeAutospacing="1" w:after="100" w:afterAutospacing="1" w:line="360" w:lineRule="auto"/>
        <w:jc w:val="both"/>
        <w:rPr>
          <w:rFonts w:ascii="Palatino Linotype" w:hAnsi="Palatino Linotype" w:cs="Arial"/>
          <w:lang w:val="es-ES_tradnl"/>
        </w:rPr>
      </w:pPr>
      <w:r w:rsidRPr="00D54F5D">
        <w:rPr>
          <w:rFonts w:ascii="Palatino Linotype" w:hAnsi="Palatino Linotype"/>
        </w:rPr>
        <w:t xml:space="preserve">Asimismo, </w:t>
      </w:r>
      <w:r w:rsidRPr="00D54F5D">
        <w:rPr>
          <w:rFonts w:ascii="Palatino Linotype" w:hAnsi="Palatino Linotype"/>
          <w:b/>
        </w:rPr>
        <w:t>EL SUJETO OBLIGADO</w:t>
      </w:r>
      <w:r w:rsidRPr="00D54F5D">
        <w:rPr>
          <w:rFonts w:ascii="Palatino Linotype" w:hAnsi="Palatino Linotype"/>
        </w:rPr>
        <w:t xml:space="preserve"> adjuntó los archivos electrónicos denominados </w:t>
      </w:r>
      <w:r w:rsidRPr="00D54F5D">
        <w:rPr>
          <w:rFonts w:ascii="Palatino Linotype" w:hAnsi="Palatino Linotype"/>
          <w:b/>
        </w:rPr>
        <w:t xml:space="preserve">JRA149IP19.pdf </w:t>
      </w:r>
      <w:r w:rsidRPr="00D54F5D">
        <w:rPr>
          <w:rFonts w:ascii="Palatino Linotype" w:hAnsi="Palatino Linotype"/>
        </w:rPr>
        <w:t xml:space="preserve">y </w:t>
      </w:r>
      <w:r w:rsidRPr="00D54F5D">
        <w:rPr>
          <w:rFonts w:ascii="Palatino Linotype" w:hAnsi="Palatino Linotype"/>
          <w:b/>
        </w:rPr>
        <w:t>149IP19de.PDF</w:t>
      </w:r>
      <w:r w:rsidRPr="00D54F5D">
        <w:rPr>
          <w:rFonts w:ascii="Palatino Linotype" w:hAnsi="Palatino Linotype"/>
        </w:rPr>
        <w:t>, de los cuales se omite su inserción en el presente apartado por ser del conocimiento de las partes.</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b/>
          <w:sz w:val="28"/>
          <w:szCs w:val="28"/>
        </w:rPr>
        <w:t>IV.</w:t>
      </w:r>
      <w:r w:rsidRPr="00D54F5D">
        <w:rPr>
          <w:rFonts w:ascii="Palatino Linotype" w:hAnsi="Palatino Linotype" w:cs="Arial"/>
          <w:szCs w:val="20"/>
        </w:rPr>
        <w:t xml:space="preserve"> </w:t>
      </w:r>
      <w:bookmarkEnd w:id="0"/>
      <w:r w:rsidRPr="00D54F5D">
        <w:rPr>
          <w:rFonts w:ascii="Palatino Linotype" w:hAnsi="Palatino Linotype"/>
        </w:rPr>
        <w:t xml:space="preserve">Inconforme con la </w:t>
      </w:r>
      <w:r w:rsidRPr="00D54F5D">
        <w:rPr>
          <w:rFonts w:ascii="Palatino Linotype" w:hAnsi="Palatino Linotype" w:cs="Arial"/>
        </w:rPr>
        <w:t xml:space="preserve">respuesta en fecha veintinueve de abril de dos mil diecinueve, </w:t>
      </w:r>
      <w:r w:rsidRPr="00D54F5D">
        <w:rPr>
          <w:rFonts w:ascii="Palatino Linotype" w:hAnsi="Palatino Linotype"/>
          <w:b/>
        </w:rPr>
        <w:t>EL RECURRENTE</w:t>
      </w:r>
      <w:r w:rsidRPr="00D54F5D">
        <w:rPr>
          <w:rFonts w:ascii="Palatino Linotype" w:hAnsi="Palatino Linotype"/>
        </w:rPr>
        <w:t xml:space="preserve"> interpuso el recurso de revisión objeto del presente estudio, el cual fue registrado en </w:t>
      </w:r>
      <w:r w:rsidRPr="00D54F5D">
        <w:rPr>
          <w:rFonts w:ascii="Palatino Linotype" w:hAnsi="Palatino Linotype"/>
          <w:b/>
        </w:rPr>
        <w:t>EL SAIMEX</w:t>
      </w:r>
      <w:r w:rsidRPr="00D54F5D">
        <w:rPr>
          <w:rFonts w:ascii="Palatino Linotype" w:hAnsi="Palatino Linotype"/>
        </w:rPr>
        <w:t xml:space="preserve"> y se le asignó el número de expediente </w:t>
      </w:r>
      <w:r w:rsidRPr="00D54F5D">
        <w:rPr>
          <w:rFonts w:ascii="Palatino Linotype" w:hAnsi="Palatino Linotype"/>
          <w:b/>
        </w:rPr>
        <w:t xml:space="preserve">03212/INFOEM/IP/RR/2019, </w:t>
      </w:r>
      <w:r w:rsidRPr="00D54F5D">
        <w:rPr>
          <w:rFonts w:ascii="Palatino Linotype" w:hAnsi="Palatino Linotype" w:cs="Arial"/>
        </w:rPr>
        <w:t>en el que señaló como acto impugnado:</w:t>
      </w:r>
    </w:p>
    <w:p w:rsidR="00B32835" w:rsidRPr="00D54F5D" w:rsidRDefault="00B32835" w:rsidP="00B32835">
      <w:pPr>
        <w:ind w:left="851" w:right="902"/>
        <w:jc w:val="both"/>
        <w:rPr>
          <w:rFonts w:ascii="Palatino Linotype" w:hAnsi="Palatino Linotype"/>
          <w:i/>
          <w:color w:val="000000"/>
          <w:sz w:val="22"/>
          <w:szCs w:val="22"/>
        </w:rPr>
      </w:pPr>
      <w:r w:rsidRPr="00D54F5D">
        <w:rPr>
          <w:rFonts w:ascii="Palatino Linotype" w:hAnsi="Palatino Linotype"/>
          <w:i/>
          <w:color w:val="000000"/>
          <w:sz w:val="22"/>
          <w:szCs w:val="22"/>
        </w:rPr>
        <w:t>“No me entregan la información solicitada”. (Sic)</w:t>
      </w:r>
    </w:p>
    <w:p w:rsidR="00B32835" w:rsidRPr="00D54F5D" w:rsidRDefault="00B32835" w:rsidP="00B32835">
      <w:pPr>
        <w:ind w:left="851" w:right="902"/>
        <w:jc w:val="both"/>
        <w:rPr>
          <w:rFonts w:ascii="Palatino Linotype" w:hAnsi="Palatino Linotype"/>
          <w:i/>
          <w:color w:val="000000"/>
          <w:sz w:val="22"/>
          <w:szCs w:val="22"/>
        </w:rPr>
      </w:pPr>
    </w:p>
    <w:p w:rsidR="00B32835" w:rsidRPr="00D54F5D" w:rsidRDefault="00B32835" w:rsidP="00B32835">
      <w:pPr>
        <w:ind w:right="902"/>
        <w:jc w:val="both"/>
        <w:rPr>
          <w:rFonts w:ascii="Palatino Linotype" w:hAnsi="Palatino Linotype"/>
          <w:color w:val="000000"/>
          <w:szCs w:val="22"/>
        </w:rPr>
      </w:pPr>
      <w:r w:rsidRPr="00D54F5D">
        <w:rPr>
          <w:rFonts w:ascii="Palatino Linotype" w:hAnsi="Palatino Linotype"/>
          <w:color w:val="000000"/>
          <w:szCs w:val="22"/>
        </w:rPr>
        <w:t>Así mismo señalo como razones o motivos de la inconformidad lo siguiente:</w:t>
      </w:r>
    </w:p>
    <w:p w:rsidR="00B32835" w:rsidRPr="00D54F5D" w:rsidRDefault="00B32835" w:rsidP="00B32835">
      <w:pPr>
        <w:ind w:left="851" w:right="902"/>
        <w:jc w:val="both"/>
        <w:rPr>
          <w:rFonts w:ascii="Palatino Linotype" w:hAnsi="Palatino Linotype"/>
          <w:i/>
          <w:color w:val="000000"/>
          <w:sz w:val="22"/>
          <w:szCs w:val="22"/>
        </w:rPr>
      </w:pPr>
    </w:p>
    <w:p w:rsidR="00B32835" w:rsidRPr="00D54F5D" w:rsidRDefault="00B32835" w:rsidP="00B32835">
      <w:pPr>
        <w:ind w:left="851" w:right="902"/>
        <w:jc w:val="both"/>
        <w:rPr>
          <w:rFonts w:ascii="Palatino Linotype" w:hAnsi="Palatino Linotype"/>
          <w:i/>
          <w:color w:val="000000"/>
          <w:sz w:val="22"/>
          <w:szCs w:val="22"/>
        </w:rPr>
      </w:pPr>
      <w:r w:rsidRPr="00D54F5D">
        <w:rPr>
          <w:rFonts w:ascii="Palatino Linotype" w:hAnsi="Palatino Linotype"/>
          <w:i/>
          <w:color w:val="000000"/>
          <w:sz w:val="22"/>
          <w:szCs w:val="22"/>
        </w:rPr>
        <w:t>“No me entregan la información solicitada”.(Sic)</w:t>
      </w:r>
    </w:p>
    <w:p w:rsidR="00B32835" w:rsidRPr="00D54F5D" w:rsidRDefault="00B32835" w:rsidP="00B32835">
      <w:pPr>
        <w:spacing w:before="100" w:beforeAutospacing="1" w:after="100" w:afterAutospacing="1" w:line="360" w:lineRule="auto"/>
        <w:jc w:val="both"/>
        <w:rPr>
          <w:rFonts w:ascii="Times" w:eastAsiaTheme="minorHAnsi" w:hAnsi="Times" w:cstheme="minorBidi"/>
          <w:sz w:val="20"/>
          <w:szCs w:val="20"/>
          <w:lang w:val="es-ES_tradnl" w:eastAsia="es-ES_tradnl"/>
        </w:rPr>
      </w:pPr>
      <w:bookmarkStart w:id="1" w:name="_Ref507070922"/>
      <w:r w:rsidRPr="00D54F5D">
        <w:rPr>
          <w:rFonts w:ascii="Palatino Linotype" w:hAnsi="Palatino Linotype"/>
          <w:b/>
          <w:sz w:val="28"/>
          <w:szCs w:val="28"/>
        </w:rPr>
        <w:t>V.</w:t>
      </w:r>
      <w:r w:rsidRPr="00D54F5D">
        <w:rPr>
          <w:rFonts w:ascii="Palatino Linotype" w:hAnsi="Palatino Linotype"/>
        </w:rPr>
        <w:t xml:space="preserve"> </w:t>
      </w:r>
      <w:bookmarkEnd w:id="1"/>
      <w:r w:rsidRPr="00D54F5D">
        <w:rPr>
          <w:rFonts w:ascii="Palatino Linotype" w:hAnsi="Palatino Linotype" w:cs="Arial"/>
          <w:lang w:val="es-ES"/>
        </w:rPr>
        <w:t>El veintinueve de abril de dos mil diecinueve</w:t>
      </w:r>
      <w:r w:rsidRPr="00D54F5D">
        <w:rPr>
          <w:rFonts w:ascii="Palatino Linotype" w:hAnsi="Palatino Linotype"/>
          <w:lang w:val="es-ES"/>
        </w:rPr>
        <w:t>, el recurso de revisión</w:t>
      </w:r>
      <w:r w:rsidRPr="00D54F5D">
        <w:rPr>
          <w:rFonts w:ascii="Palatino Linotype" w:hAnsi="Palatino Linotype" w:cs="Arial"/>
          <w:lang w:val="es-ES_tradnl"/>
        </w:rPr>
        <w:t xml:space="preserve"> de que</w:t>
      </w:r>
      <w:r w:rsidRPr="00D54F5D">
        <w:rPr>
          <w:rFonts w:ascii="Palatino Linotype" w:hAnsi="Palatino Linotype" w:cs="Arial"/>
          <w:lang w:val="es-ES"/>
        </w:rPr>
        <w:t xml:space="preserve"> se trata</w:t>
      </w:r>
      <w:r w:rsidRPr="00D54F5D">
        <w:rPr>
          <w:rFonts w:ascii="Palatino Linotype" w:hAnsi="Palatino Linotype" w:cs="Arial"/>
          <w:lang w:val="es-ES_tradnl"/>
        </w:rPr>
        <w:t xml:space="preserve"> se envió electrónicamente al Instituto de </w:t>
      </w:r>
      <w:r w:rsidRPr="00D54F5D">
        <w:rPr>
          <w:rFonts w:ascii="Palatino Linotype" w:eastAsia="Arial Unicode MS" w:hAnsi="Palatino Linotype" w:cs="Arial"/>
          <w:lang w:val="es-ES"/>
        </w:rPr>
        <w:t>Transparencia</w:t>
      </w:r>
      <w:r w:rsidRPr="00D54F5D">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D54F5D">
        <w:rPr>
          <w:rFonts w:ascii="Palatino Linotype" w:hAnsi="Palatino Linotype"/>
          <w:lang w:val="es-ES"/>
        </w:rPr>
        <w:t xml:space="preserve">Ley de Transparencia y Acceso a la Información </w:t>
      </w:r>
      <w:r w:rsidRPr="00D54F5D">
        <w:rPr>
          <w:rFonts w:ascii="Palatino Linotype" w:hAnsi="Palatino Linotype"/>
          <w:lang w:val="es-ES"/>
        </w:rPr>
        <w:lastRenderedPageBreak/>
        <w:t>Pública del Estado de México y Municipios</w:t>
      </w:r>
      <w:r w:rsidRPr="00D54F5D">
        <w:rPr>
          <w:rFonts w:ascii="Palatino Linotype" w:hAnsi="Palatino Linotype" w:cs="Arial"/>
          <w:lang w:val="es-ES_tradnl"/>
        </w:rPr>
        <w:t>, se turnó, a través del</w:t>
      </w:r>
      <w:r w:rsidRPr="00D54F5D">
        <w:rPr>
          <w:rFonts w:ascii="Palatino Linotype" w:eastAsia="Arial Unicode MS" w:hAnsi="Palatino Linotype" w:cs="Arial"/>
          <w:lang w:val="es-ES_tradnl"/>
        </w:rPr>
        <w:t xml:space="preserve"> </w:t>
      </w:r>
      <w:r w:rsidRPr="00D54F5D">
        <w:rPr>
          <w:rFonts w:ascii="Palatino Linotype" w:eastAsia="Arial Unicode MS" w:hAnsi="Palatino Linotype" w:cs="Arial"/>
          <w:b/>
          <w:lang w:val="es-ES_tradnl"/>
        </w:rPr>
        <w:t>SAIMEX</w:t>
      </w:r>
      <w:r w:rsidRPr="00D54F5D">
        <w:rPr>
          <w:rFonts w:ascii="Palatino Linotype" w:hAnsi="Palatino Linotype"/>
          <w:lang w:val="es-ES"/>
        </w:rPr>
        <w:t xml:space="preserve">, el recurso de revisión </w:t>
      </w:r>
      <w:r w:rsidRPr="00D54F5D">
        <w:rPr>
          <w:rFonts w:ascii="Palatino Linotype" w:hAnsi="Palatino Linotype"/>
          <w:b/>
          <w:lang w:val="es-ES"/>
        </w:rPr>
        <w:t>03212/INFOEM/IP/RR/2019</w:t>
      </w:r>
      <w:r w:rsidRPr="00D54F5D">
        <w:rPr>
          <w:rFonts w:ascii="Palatino Linotype" w:hAnsi="Palatino Linotype"/>
          <w:lang w:val="es-ES"/>
        </w:rPr>
        <w:t xml:space="preserve"> a la </w:t>
      </w:r>
      <w:r w:rsidRPr="00D54F5D">
        <w:rPr>
          <w:rFonts w:ascii="Palatino Linotype" w:hAnsi="Palatino Linotype" w:cs="Arial"/>
          <w:lang w:val="es-ES_tradnl"/>
        </w:rPr>
        <w:t xml:space="preserve">Comisionada </w:t>
      </w:r>
      <w:r w:rsidRPr="00D54F5D">
        <w:rPr>
          <w:rFonts w:ascii="Palatino Linotype" w:hAnsi="Palatino Linotype" w:cs="Arial"/>
          <w:b/>
          <w:lang w:val="es-ES_tradnl"/>
        </w:rPr>
        <w:t xml:space="preserve">Eva Abaid Yapur, </w:t>
      </w:r>
      <w:r w:rsidRPr="00D54F5D">
        <w:rPr>
          <w:rFonts w:ascii="Palatino Linotype" w:hAnsi="Palatino Linotype" w:cs="Arial"/>
          <w:lang w:val="es-ES_tradnl"/>
        </w:rPr>
        <w:t>a efecto de que se decretará su admisión o desechamiento.</w:t>
      </w:r>
    </w:p>
    <w:p w:rsidR="00B32835" w:rsidRPr="00D54F5D" w:rsidRDefault="00B32835" w:rsidP="00B32835">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D54F5D">
        <w:rPr>
          <w:rFonts w:ascii="Palatino Linotype" w:hAnsi="Palatino Linotype" w:cs="Arial"/>
          <w:b/>
          <w:sz w:val="28"/>
          <w:szCs w:val="28"/>
        </w:rPr>
        <w:t>VI.</w:t>
      </w:r>
      <w:r w:rsidRPr="00D54F5D">
        <w:rPr>
          <w:rFonts w:ascii="Palatino Linotype" w:hAnsi="Palatino Linotype" w:cs="Arial"/>
        </w:rPr>
        <w:t xml:space="preserve"> </w:t>
      </w:r>
      <w:r w:rsidRPr="00D54F5D">
        <w:rPr>
          <w:rFonts w:ascii="Palatino Linotype" w:eastAsia="MS Mincho" w:hAnsi="Palatino Linotype" w:cs="Arial"/>
          <w:lang w:val="es-ES_tradnl"/>
        </w:rPr>
        <w:t>De las constancias de los expedientes electrónicos del</w:t>
      </w:r>
      <w:r w:rsidRPr="00D54F5D">
        <w:rPr>
          <w:rFonts w:ascii="Palatino Linotype" w:eastAsia="MS Mincho" w:hAnsi="Palatino Linotype" w:cs="Arial"/>
          <w:b/>
          <w:lang w:val="es-ES_tradnl"/>
        </w:rPr>
        <w:t xml:space="preserve"> SAIMEX</w:t>
      </w:r>
      <w:r w:rsidRPr="00D54F5D">
        <w:rPr>
          <w:rFonts w:ascii="Palatino Linotype" w:eastAsia="MS Mincho" w:hAnsi="Palatino Linotype" w:cs="Arial"/>
          <w:lang w:val="es-ES_tradnl"/>
        </w:rPr>
        <w:t xml:space="preserve">, se desprende que el siete de 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54F5D">
        <w:rPr>
          <w:rFonts w:ascii="Palatino Linotype" w:eastAsia="MS Mincho" w:hAnsi="Palatino Linotype" w:cs="Arial"/>
          <w:b/>
          <w:lang w:val="es-ES_tradnl"/>
        </w:rPr>
        <w:t xml:space="preserve">EL SUJETO OBLIGADO </w:t>
      </w:r>
      <w:r w:rsidRPr="00D54F5D">
        <w:rPr>
          <w:rFonts w:ascii="Palatino Linotype" w:eastAsia="MS Mincho" w:hAnsi="Palatino Linotype" w:cs="Arial"/>
          <w:lang w:val="es-ES_tradnl"/>
        </w:rPr>
        <w:t>rindiera su Informe Justificado respectivamente.</w:t>
      </w:r>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D54F5D">
        <w:rPr>
          <w:rFonts w:ascii="Palatino Linotype" w:hAnsi="Palatino Linotype" w:cs="Arial"/>
          <w:b/>
          <w:sz w:val="28"/>
          <w:szCs w:val="28"/>
        </w:rPr>
        <w:t>VII.</w:t>
      </w:r>
      <w:r w:rsidRPr="00D54F5D">
        <w:rPr>
          <w:rFonts w:ascii="Palatino Linotype" w:hAnsi="Palatino Linotype" w:cs="Arial"/>
        </w:rPr>
        <w:t xml:space="preserve"> </w:t>
      </w:r>
      <w:bookmarkStart w:id="2" w:name="_Ref529870989"/>
      <w:r w:rsidRPr="00D54F5D">
        <w:rPr>
          <w:rFonts w:ascii="Palatino Linotype" w:hAnsi="Palatino Linotype" w:cs="Arial"/>
        </w:rPr>
        <w:t>De</w:t>
      </w:r>
      <w:r w:rsidRPr="00D54F5D">
        <w:rPr>
          <w:rFonts w:ascii="Palatino Linotype" w:hAnsi="Palatino Linotype" w:cs="Arial"/>
          <w:lang w:val="es-ES_tradnl"/>
        </w:rPr>
        <w:t xml:space="preserve"> las </w:t>
      </w:r>
      <w:r w:rsidRPr="00D54F5D">
        <w:rPr>
          <w:rFonts w:ascii="Palatino Linotype" w:hAnsi="Palatino Linotype"/>
        </w:rPr>
        <w:t>constancias</w:t>
      </w:r>
      <w:r w:rsidRPr="00D54F5D">
        <w:rPr>
          <w:rFonts w:ascii="Palatino Linotype" w:hAnsi="Palatino Linotype" w:cs="Arial"/>
          <w:lang w:val="es-ES_tradnl"/>
        </w:rPr>
        <w:t xml:space="preserve"> que obran en el </w:t>
      </w:r>
      <w:r w:rsidRPr="00D54F5D">
        <w:rPr>
          <w:rFonts w:ascii="Palatino Linotype" w:hAnsi="Palatino Linotype" w:cs="Arial"/>
          <w:b/>
          <w:lang w:val="es-ES_tradnl"/>
        </w:rPr>
        <w:t>SAIMEX</w:t>
      </w:r>
      <w:r w:rsidRPr="00D54F5D">
        <w:rPr>
          <w:rFonts w:ascii="Palatino Linotype" w:hAnsi="Palatino Linotype" w:cs="Arial"/>
          <w:lang w:val="es-ES_tradnl"/>
        </w:rPr>
        <w:t xml:space="preserve">, se advierte que, </w:t>
      </w:r>
      <w:r w:rsidRPr="00D54F5D">
        <w:rPr>
          <w:rFonts w:ascii="Palatino Linotype" w:hAnsi="Palatino Linotype" w:cs="Arial"/>
          <w:b/>
        </w:rPr>
        <w:t xml:space="preserve">EL RECURRENTE </w:t>
      </w:r>
      <w:r w:rsidRPr="00D54F5D">
        <w:rPr>
          <w:rFonts w:ascii="Palatino Linotype" w:hAnsi="Palatino Linotype" w:cs="Arial"/>
        </w:rPr>
        <w:t xml:space="preserve">fue omiso en realizar manifestaciones, alegatos y ofrecer las pruebas que a su derecho </w:t>
      </w:r>
      <w:r w:rsidRPr="00D54F5D">
        <w:rPr>
          <w:rFonts w:ascii="Palatino Linotype" w:hAnsi="Palatino Linotype" w:cs="Arial"/>
          <w:lang w:val="es-ES_tradnl"/>
        </w:rPr>
        <w:t xml:space="preserve">conviniera. Por otra parte, </w:t>
      </w:r>
      <w:r w:rsidRPr="00D54F5D">
        <w:rPr>
          <w:rFonts w:ascii="Palatino Linotype" w:hAnsi="Palatino Linotype" w:cs="Arial"/>
          <w:b/>
          <w:lang w:val="es-ES_tradnl"/>
        </w:rPr>
        <w:t xml:space="preserve">EL SUJETO OBLIGADO </w:t>
      </w:r>
      <w:r w:rsidRPr="00D54F5D">
        <w:rPr>
          <w:rFonts w:ascii="Palatino Linotype" w:hAnsi="Palatino Linotype" w:cs="Arial"/>
          <w:lang w:val="es-ES_tradnl"/>
        </w:rPr>
        <w:t>en fecha dieciséis de mayo de dos mil diecinueve, rindió el Informe Justificado correspondiente; tal y como se aprecia enseguida:</w:t>
      </w:r>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54F5D">
        <w:rPr>
          <w:noProof/>
          <w:lang w:eastAsia="es-MX"/>
        </w:rPr>
        <w:drawing>
          <wp:inline distT="0" distB="0" distL="0" distR="0" wp14:anchorId="639DD46E" wp14:editId="38EB7885">
            <wp:extent cx="5483705" cy="1861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40" t="29543" r="16767" b="36137"/>
                    <a:stretch/>
                  </pic:blipFill>
                  <pic:spPr bwMode="auto">
                    <a:xfrm>
                      <a:off x="0" y="0"/>
                      <a:ext cx="5544085" cy="1882401"/>
                    </a:xfrm>
                    <a:prstGeom prst="rect">
                      <a:avLst/>
                    </a:prstGeom>
                    <a:ln>
                      <a:noFill/>
                    </a:ln>
                    <a:extLst>
                      <a:ext uri="{53640926-AAD7-44D8-BBD7-CCE9431645EC}">
                        <a14:shadowObscured xmlns:a14="http://schemas.microsoft.com/office/drawing/2010/main"/>
                      </a:ext>
                    </a:extLst>
                  </pic:spPr>
                </pic:pic>
              </a:graphicData>
            </a:graphic>
          </wp:inline>
        </w:drawing>
      </w:r>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D54F5D">
        <w:rPr>
          <w:rFonts w:ascii="Palatino Linotype" w:hAnsi="Palatino Linotype" w:cs="Arial"/>
          <w:lang w:val="es-ES_tradnl"/>
        </w:rPr>
        <w:lastRenderedPageBreak/>
        <w:t xml:space="preserve">En este punto conviene precisar que, el Informe Justificado rendido por </w:t>
      </w:r>
      <w:r w:rsidRPr="00D54F5D">
        <w:rPr>
          <w:rFonts w:ascii="Palatino Linotype" w:hAnsi="Palatino Linotype" w:cs="Arial"/>
          <w:b/>
          <w:lang w:val="es-ES_tradnl"/>
        </w:rPr>
        <w:t xml:space="preserve">EL SUJETO OBLIGADO, </w:t>
      </w:r>
      <w:r w:rsidRPr="00D54F5D">
        <w:rPr>
          <w:rFonts w:ascii="Palatino Linotype" w:hAnsi="Palatino Linotype" w:cs="Arial"/>
          <w:lang w:val="es-ES_tradnl"/>
        </w:rPr>
        <w:t xml:space="preserve">no encuadro en el supuesto previsto en la fracción III del artículo 185 de la Ley de Transparencia y Acceso a la Información Pública del Estado de México y Municipios; razón por la cual, no fue puesto a la vista del </w:t>
      </w:r>
      <w:r w:rsidRPr="00D54F5D">
        <w:rPr>
          <w:rFonts w:ascii="Palatino Linotype" w:hAnsi="Palatino Linotype" w:cs="Arial"/>
          <w:b/>
          <w:lang w:val="es-ES_tradnl"/>
        </w:rPr>
        <w:t xml:space="preserve">RECURRENTE; </w:t>
      </w:r>
      <w:r w:rsidRPr="00D54F5D">
        <w:rPr>
          <w:rFonts w:ascii="Palatino Linotype" w:hAnsi="Palatino Linotype" w:cs="Arial"/>
          <w:lang w:val="es-ES_tradnl"/>
        </w:rPr>
        <w:t>sin embargo, a fin de que este último conozca en su totalidad las constancias que integran el expediente electrónico del recurso de revisión, el contenido de dicho Informe se hace de su conocimiento enseguida:</w:t>
      </w:r>
    </w:p>
    <w:p w:rsidR="00B32835" w:rsidRPr="00D54F5D" w:rsidRDefault="00820B0E" w:rsidP="00B3283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bookmarkStart w:id="3" w:name="_GoBack"/>
      <w:r>
        <w:rPr>
          <w:noProof/>
          <w:lang w:eastAsia="es-MX"/>
        </w:rPr>
        <w:drawing>
          <wp:inline distT="0" distB="0" distL="0" distR="0" wp14:anchorId="141336EF" wp14:editId="63DDE900">
            <wp:extent cx="5423184" cy="5426015"/>
            <wp:effectExtent l="0" t="0" r="635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30" t="20186" r="28788" b="7739"/>
                    <a:stretch/>
                  </pic:blipFill>
                  <pic:spPr bwMode="auto">
                    <a:xfrm>
                      <a:off x="0" y="0"/>
                      <a:ext cx="5453332" cy="5456179"/>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54F5D">
        <w:rPr>
          <w:noProof/>
          <w:lang w:eastAsia="es-MX"/>
        </w:rPr>
        <w:lastRenderedPageBreak/>
        <w:drawing>
          <wp:inline distT="0" distB="0" distL="0" distR="0" wp14:anchorId="391D97BD" wp14:editId="3F53075A">
            <wp:extent cx="5397041" cy="7427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53" t="15717" r="35154" b="7472"/>
                    <a:stretch/>
                  </pic:blipFill>
                  <pic:spPr bwMode="auto">
                    <a:xfrm>
                      <a:off x="0" y="0"/>
                      <a:ext cx="5431923" cy="7475883"/>
                    </a:xfrm>
                    <a:prstGeom prst="rect">
                      <a:avLst/>
                    </a:prstGeom>
                    <a:ln>
                      <a:noFill/>
                    </a:ln>
                    <a:extLst>
                      <a:ext uri="{53640926-AAD7-44D8-BBD7-CCE9431645EC}">
                        <a14:shadowObscured xmlns:a14="http://schemas.microsoft.com/office/drawing/2010/main"/>
                      </a:ext>
                    </a:extLst>
                  </pic:spPr>
                </pic:pic>
              </a:graphicData>
            </a:graphic>
          </wp:inline>
        </w:drawing>
      </w:r>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54F5D">
        <w:rPr>
          <w:noProof/>
          <w:lang w:eastAsia="es-MX"/>
        </w:rPr>
        <w:lastRenderedPageBreak/>
        <w:drawing>
          <wp:inline distT="0" distB="0" distL="0" distR="0" wp14:anchorId="6F4DCB6E" wp14:editId="16821C98">
            <wp:extent cx="5496837" cy="73672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40" t="11196" r="34885" b="13095"/>
                    <a:stretch/>
                  </pic:blipFill>
                  <pic:spPr bwMode="auto">
                    <a:xfrm>
                      <a:off x="0" y="0"/>
                      <a:ext cx="5519994" cy="7398240"/>
                    </a:xfrm>
                    <a:prstGeom prst="rect">
                      <a:avLst/>
                    </a:prstGeom>
                    <a:ln>
                      <a:noFill/>
                    </a:ln>
                    <a:extLst>
                      <a:ext uri="{53640926-AAD7-44D8-BBD7-CCE9431645EC}">
                        <a14:shadowObscured xmlns:a14="http://schemas.microsoft.com/office/drawing/2010/main"/>
                      </a:ext>
                    </a:extLst>
                  </pic:spPr>
                </pic:pic>
              </a:graphicData>
            </a:graphic>
          </wp:inline>
        </w:drawing>
      </w:r>
    </w:p>
    <w:p w:rsidR="00B32835" w:rsidRPr="00D54F5D" w:rsidRDefault="00B32835" w:rsidP="00B32835">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54F5D">
        <w:rPr>
          <w:noProof/>
          <w:lang w:eastAsia="es-MX"/>
        </w:rPr>
        <w:lastRenderedPageBreak/>
        <w:drawing>
          <wp:inline distT="0" distB="0" distL="0" distR="0" wp14:anchorId="188FC0C6" wp14:editId="5DE31F54">
            <wp:extent cx="5473360" cy="32410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492" t="9747" r="33552" b="46014"/>
                    <a:stretch/>
                  </pic:blipFill>
                  <pic:spPr bwMode="auto">
                    <a:xfrm>
                      <a:off x="0" y="0"/>
                      <a:ext cx="5527879" cy="3273323"/>
                    </a:xfrm>
                    <a:prstGeom prst="rect">
                      <a:avLst/>
                    </a:prstGeom>
                    <a:ln>
                      <a:noFill/>
                    </a:ln>
                    <a:extLst>
                      <a:ext uri="{53640926-AAD7-44D8-BBD7-CCE9431645EC}">
                        <a14:shadowObscured xmlns:a14="http://schemas.microsoft.com/office/drawing/2010/main"/>
                      </a:ext>
                    </a:extLst>
                  </pic:spPr>
                </pic:pic>
              </a:graphicData>
            </a:graphic>
          </wp:inline>
        </w:drawing>
      </w:r>
    </w:p>
    <w:p w:rsidR="00B32835" w:rsidRPr="00D54F5D" w:rsidRDefault="00B32835" w:rsidP="00B32835">
      <w:pPr>
        <w:pStyle w:val="Prrafodelista"/>
        <w:tabs>
          <w:tab w:val="left" w:pos="709"/>
        </w:tabs>
        <w:spacing w:before="200" w:after="200" w:line="360" w:lineRule="auto"/>
        <w:ind w:left="0"/>
        <w:jc w:val="both"/>
        <w:rPr>
          <w:rFonts w:ascii="Palatino Linotype" w:hAnsi="Palatino Linotype" w:cs="Arial"/>
        </w:rPr>
      </w:pPr>
      <w:r w:rsidRPr="00D54F5D">
        <w:rPr>
          <w:rFonts w:ascii="Palatino Linotype" w:hAnsi="Palatino Linotype" w:cs="Arial"/>
          <w:b/>
          <w:sz w:val="28"/>
          <w:szCs w:val="28"/>
        </w:rPr>
        <w:t>VIII.</w:t>
      </w:r>
      <w:r w:rsidRPr="00D54F5D">
        <w:rPr>
          <w:rFonts w:ascii="Palatino Linotype" w:hAnsi="Palatino Linotype" w:cs="Arial"/>
        </w:rPr>
        <w:t xml:space="preserve"> Una vez analizado el estado procesal que guarda el expediente, en fecha veinte de mayo </w:t>
      </w:r>
      <w:r w:rsidRPr="00D54F5D">
        <w:rPr>
          <w:rFonts w:ascii="Palatino Linotype" w:hAnsi="Palatino Linotype" w:cs="Arial"/>
          <w:lang w:val="es-ES_tradnl"/>
        </w:rPr>
        <w:t>de dos mil diecinueve</w:t>
      </w:r>
      <w:r w:rsidRPr="00D54F5D">
        <w:rPr>
          <w:rFonts w:ascii="Palatino Linotype" w:hAnsi="Palatino Linotype" w:cs="Arial"/>
        </w:rPr>
        <w:t xml:space="preserve">, la Comisionada Ponente acordó el cierre de instrucción, así </w:t>
      </w:r>
      <w:r w:rsidRPr="00D54F5D">
        <w:rPr>
          <w:rFonts w:ascii="Palatino Linotype" w:hAnsi="Palatino Linotype" w:cs="Arial"/>
          <w:lang w:val="es-ES_tradnl"/>
        </w:rPr>
        <w:t>como</w:t>
      </w:r>
      <w:r w:rsidRPr="00D54F5D">
        <w:rPr>
          <w:rFonts w:ascii="Palatino Linotype" w:hAnsi="Palatino Linotype" w:cs="Arial"/>
        </w:rPr>
        <w:t xml:space="preserve"> la remisión del mismo a efecto </w:t>
      </w:r>
      <w:r w:rsidRPr="00D54F5D">
        <w:rPr>
          <w:rFonts w:ascii="Palatino Linotype" w:hAnsi="Palatino Linotype" w:cs="Arial"/>
          <w:lang w:val="es-ES_tradnl"/>
        </w:rPr>
        <w:t>de</w:t>
      </w:r>
      <w:r w:rsidRPr="00D54F5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B32835" w:rsidRPr="00D54F5D" w:rsidRDefault="00B32835" w:rsidP="00B32835">
      <w:pPr>
        <w:pStyle w:val="Prrafodelista"/>
        <w:tabs>
          <w:tab w:val="left" w:pos="709"/>
        </w:tabs>
        <w:spacing w:before="200" w:after="200" w:line="360" w:lineRule="auto"/>
        <w:ind w:left="0"/>
        <w:jc w:val="both"/>
        <w:rPr>
          <w:rFonts w:ascii="Palatino Linotype" w:hAnsi="Palatino Linotype" w:cs="Arial"/>
          <w:b/>
          <w:sz w:val="28"/>
          <w:szCs w:val="28"/>
        </w:rPr>
      </w:pPr>
      <w:r w:rsidRPr="00D54F5D">
        <w:rPr>
          <w:rFonts w:ascii="Palatino Linotype" w:hAnsi="Palatino Linotype" w:cs="Arial"/>
          <w:b/>
          <w:sz w:val="28"/>
          <w:szCs w:val="28"/>
        </w:rPr>
        <w:t xml:space="preserve">VIII. </w:t>
      </w:r>
      <w:bookmarkEnd w:id="2"/>
      <w:r w:rsidRPr="00D54F5D">
        <w:rPr>
          <w:rFonts w:ascii="Palatino Linotype" w:hAnsi="Palatino Linotype" w:cs="Arial"/>
        </w:rPr>
        <w:t xml:space="preserve">En fecha dieciocho de </w:t>
      </w:r>
      <w:r w:rsidR="00B02142" w:rsidRPr="00D54F5D">
        <w:rPr>
          <w:rFonts w:ascii="Palatino Linotype" w:hAnsi="Palatino Linotype" w:cs="Arial"/>
        </w:rPr>
        <w:t>junio</w:t>
      </w:r>
      <w:r w:rsidRPr="00D54F5D">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B32835" w:rsidRPr="00D54F5D" w:rsidRDefault="00B32835" w:rsidP="00B32835">
      <w:pPr>
        <w:spacing w:before="120" w:after="120" w:line="360" w:lineRule="auto"/>
        <w:jc w:val="center"/>
        <w:rPr>
          <w:rFonts w:ascii="Palatino Linotype" w:hAnsi="Palatino Linotype"/>
          <w:b/>
          <w:bCs/>
          <w:spacing w:val="60"/>
          <w:sz w:val="28"/>
        </w:rPr>
      </w:pPr>
      <w:r w:rsidRPr="00D54F5D">
        <w:rPr>
          <w:rFonts w:ascii="Palatino Linotype" w:hAnsi="Palatino Linotype"/>
          <w:b/>
          <w:bCs/>
          <w:spacing w:val="60"/>
          <w:sz w:val="28"/>
        </w:rPr>
        <w:t>CONSIDERANDO</w:t>
      </w:r>
    </w:p>
    <w:p w:rsidR="00B32835" w:rsidRPr="00D54F5D" w:rsidRDefault="00B32835" w:rsidP="00B3283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D54F5D">
        <w:rPr>
          <w:rFonts w:ascii="Palatino Linotype" w:hAnsi="Palatino Linotype"/>
          <w:b/>
          <w:sz w:val="28"/>
          <w:szCs w:val="28"/>
        </w:rPr>
        <w:t>PRIMERO.</w:t>
      </w:r>
      <w:r w:rsidRPr="00D54F5D">
        <w:rPr>
          <w:rFonts w:ascii="Palatino Linotype" w:hAnsi="Palatino Linotype"/>
          <w:b/>
        </w:rPr>
        <w:t xml:space="preserve"> Competencia</w:t>
      </w:r>
      <w:r w:rsidRPr="00D54F5D">
        <w:rPr>
          <w:rFonts w:ascii="Palatino Linotype" w:hAnsi="Palatino Linotype"/>
        </w:rPr>
        <w:t>.</w:t>
      </w:r>
      <w:r w:rsidRPr="00D54F5D">
        <w:rPr>
          <w:rFonts w:ascii="Palatino Linotype" w:hAnsi="Palatino Linotype"/>
          <w:b/>
        </w:rPr>
        <w:t xml:space="preserve"> </w:t>
      </w:r>
      <w:r w:rsidRPr="00D54F5D">
        <w:rPr>
          <w:rFonts w:ascii="Palatino Linotype" w:hAnsi="Palatino Linotype"/>
        </w:rPr>
        <w:t xml:space="preserve">Este Instituto de Transparencia, Acceso a la Información </w:t>
      </w:r>
      <w:r w:rsidRPr="00D54F5D">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54F5D">
        <w:rPr>
          <w:rFonts w:ascii="Palatino Linotype" w:hAnsi="Palatino Linotype" w:cs="Arial"/>
        </w:rPr>
        <w:t>.</w:t>
      </w:r>
    </w:p>
    <w:p w:rsidR="00B32835" w:rsidRPr="00D54F5D" w:rsidRDefault="00B32835" w:rsidP="00B3283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D54F5D">
        <w:rPr>
          <w:rFonts w:ascii="Palatino Linotype" w:hAnsi="Palatino Linotype" w:cs="Arial"/>
          <w:b/>
          <w:sz w:val="28"/>
          <w:szCs w:val="28"/>
        </w:rPr>
        <w:t>SEGUNDO.</w:t>
      </w:r>
      <w:r w:rsidRPr="00D54F5D">
        <w:rPr>
          <w:rFonts w:ascii="Palatino Linotype" w:hAnsi="Palatino Linotype" w:cs="Arial"/>
          <w:b/>
        </w:rPr>
        <w:t xml:space="preserve"> Interés.</w:t>
      </w:r>
      <w:r w:rsidRPr="00D54F5D">
        <w:rPr>
          <w:rFonts w:ascii="Palatino Linotype" w:hAnsi="Palatino Linotype" w:cs="Arial"/>
        </w:rPr>
        <w:t xml:space="preserve"> El </w:t>
      </w:r>
      <w:r w:rsidRPr="00D54F5D">
        <w:rPr>
          <w:rFonts w:ascii="Palatino Linotype" w:hAnsi="Palatino Linotype"/>
        </w:rPr>
        <w:t>recurso</w:t>
      </w:r>
      <w:r w:rsidRPr="00D54F5D">
        <w:rPr>
          <w:rFonts w:ascii="Palatino Linotype" w:hAnsi="Palatino Linotype" w:cs="Arial"/>
        </w:rPr>
        <w:t xml:space="preserve"> de revisión fue </w:t>
      </w:r>
      <w:r w:rsidRPr="00D54F5D">
        <w:rPr>
          <w:rFonts w:ascii="Palatino Linotype" w:hAnsi="Palatino Linotype"/>
        </w:rPr>
        <w:t>interpuesto</w:t>
      </w:r>
      <w:r w:rsidRPr="00D54F5D">
        <w:rPr>
          <w:rFonts w:ascii="Palatino Linotype" w:hAnsi="Palatino Linotype" w:cs="Arial"/>
        </w:rPr>
        <w:t xml:space="preserve"> por parte legítima en atención a que fue </w:t>
      </w:r>
      <w:r w:rsidRPr="00D54F5D">
        <w:rPr>
          <w:rFonts w:ascii="Palatino Linotype" w:hAnsi="Palatino Linotype"/>
        </w:rPr>
        <w:t>presentado</w:t>
      </w:r>
      <w:r w:rsidRPr="00D54F5D">
        <w:rPr>
          <w:rFonts w:ascii="Palatino Linotype" w:hAnsi="Palatino Linotype" w:cs="Arial"/>
        </w:rPr>
        <w:t xml:space="preserve"> por </w:t>
      </w:r>
      <w:r w:rsidRPr="00D54F5D">
        <w:rPr>
          <w:rFonts w:ascii="Palatino Linotype" w:hAnsi="Palatino Linotype" w:cs="Arial"/>
          <w:b/>
        </w:rPr>
        <w:t>EL RECURRENTE</w:t>
      </w:r>
      <w:r w:rsidRPr="00D54F5D">
        <w:rPr>
          <w:rFonts w:ascii="Palatino Linotype" w:hAnsi="Palatino Linotype" w:cs="Arial"/>
          <w:snapToGrid w:val="0"/>
        </w:rPr>
        <w:t xml:space="preserve">, </w:t>
      </w:r>
      <w:r w:rsidRPr="00D54F5D">
        <w:rPr>
          <w:rFonts w:ascii="Palatino Linotype" w:hAnsi="Palatino Linotype" w:cs="Arial"/>
        </w:rPr>
        <w:t>quien</w:t>
      </w:r>
      <w:r w:rsidRPr="00D54F5D">
        <w:rPr>
          <w:rFonts w:ascii="Palatino Linotype" w:hAnsi="Palatino Linotype" w:cs="Arial"/>
          <w:snapToGrid w:val="0"/>
        </w:rPr>
        <w:t xml:space="preserve"> </w:t>
      </w:r>
      <w:r w:rsidRPr="00D54F5D">
        <w:rPr>
          <w:rFonts w:ascii="Palatino Linotype" w:hAnsi="Palatino Linotype"/>
        </w:rPr>
        <w:t>formuló</w:t>
      </w:r>
      <w:r w:rsidRPr="00D54F5D">
        <w:rPr>
          <w:rFonts w:ascii="Palatino Linotype" w:hAnsi="Palatino Linotype" w:cs="Arial"/>
          <w:snapToGrid w:val="0"/>
        </w:rPr>
        <w:t xml:space="preserve"> la </w:t>
      </w:r>
      <w:r w:rsidRPr="00D54F5D">
        <w:rPr>
          <w:rFonts w:ascii="Palatino Linotype" w:hAnsi="Palatino Linotype" w:cs="Arial"/>
        </w:rPr>
        <w:t>solicitud</w:t>
      </w:r>
      <w:r w:rsidRPr="00D54F5D">
        <w:rPr>
          <w:rFonts w:ascii="Palatino Linotype" w:hAnsi="Palatino Linotype" w:cs="Arial"/>
          <w:snapToGrid w:val="0"/>
        </w:rPr>
        <w:t xml:space="preserve"> de información pública al </w:t>
      </w:r>
      <w:r w:rsidRPr="00D54F5D">
        <w:rPr>
          <w:rFonts w:ascii="Palatino Linotype" w:hAnsi="Palatino Linotype" w:cs="Arial"/>
          <w:b/>
          <w:snapToGrid w:val="0"/>
        </w:rPr>
        <w:t>SUJETO OBLIGADO.</w:t>
      </w:r>
      <w:r w:rsidRPr="00D54F5D">
        <w:rPr>
          <w:rFonts w:ascii="Palatino Linotype" w:hAnsi="Palatino Linotype" w:cs="Arial"/>
          <w:snapToGrid w:val="0"/>
        </w:rPr>
        <w:t xml:space="preserve"> </w:t>
      </w:r>
    </w:p>
    <w:p w:rsidR="00B32835" w:rsidRPr="00D54F5D" w:rsidRDefault="00B32835" w:rsidP="00B3283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D54F5D">
        <w:rPr>
          <w:rFonts w:ascii="Palatino Linotype" w:hAnsi="Palatino Linotype" w:cs="Arial"/>
          <w:b/>
          <w:sz w:val="28"/>
          <w:szCs w:val="28"/>
        </w:rPr>
        <w:t>TERCERO.</w:t>
      </w:r>
      <w:r w:rsidRPr="00D54F5D">
        <w:rPr>
          <w:rFonts w:ascii="Palatino Linotype" w:hAnsi="Palatino Linotype" w:cs="Arial"/>
          <w:b/>
        </w:rPr>
        <w:t xml:space="preserve"> Oportunidad. </w:t>
      </w:r>
      <w:r w:rsidRPr="00D54F5D">
        <w:rPr>
          <w:rFonts w:ascii="Palatino Linotype" w:hAnsi="Palatino Linotype" w:cs="Arial"/>
        </w:rPr>
        <w:t xml:space="preserve">El </w:t>
      </w:r>
      <w:r w:rsidRPr="00D54F5D">
        <w:rPr>
          <w:rFonts w:ascii="Palatino Linotype" w:hAnsi="Palatino Linotype"/>
        </w:rPr>
        <w:t>recurso</w:t>
      </w:r>
      <w:r w:rsidRPr="00D54F5D">
        <w:rPr>
          <w:rFonts w:ascii="Palatino Linotype" w:hAnsi="Palatino Linotype" w:cs="Arial"/>
        </w:rPr>
        <w:t xml:space="preserve"> de revisión fue interpuesto dentro del plazo de quince días hábiles </w:t>
      </w:r>
      <w:r w:rsidRPr="00D54F5D">
        <w:rPr>
          <w:rFonts w:ascii="Palatino Linotype" w:hAnsi="Palatino Linotype"/>
        </w:rPr>
        <w:t>contados</w:t>
      </w:r>
      <w:r w:rsidRPr="00D54F5D">
        <w:rPr>
          <w:rFonts w:ascii="Palatino Linotype" w:hAnsi="Palatino Linotype" w:cs="Arial"/>
        </w:rPr>
        <w:t xml:space="preserve"> a </w:t>
      </w:r>
      <w:r w:rsidRPr="00D54F5D">
        <w:rPr>
          <w:rFonts w:ascii="Palatino Linotype" w:hAnsi="Palatino Linotype"/>
        </w:rPr>
        <w:t>partir</w:t>
      </w:r>
      <w:r w:rsidRPr="00D54F5D">
        <w:rPr>
          <w:rFonts w:ascii="Palatino Linotype" w:hAnsi="Palatino Linotype" w:cs="Arial"/>
        </w:rPr>
        <w:t xml:space="preserve"> del día siguiente al que </w:t>
      </w:r>
      <w:r w:rsidRPr="00D54F5D">
        <w:rPr>
          <w:rFonts w:ascii="Palatino Linotype" w:hAnsi="Palatino Linotype" w:cs="Arial"/>
          <w:b/>
        </w:rPr>
        <w:t>EL RECURRENTE</w:t>
      </w:r>
      <w:r w:rsidRPr="00D54F5D">
        <w:rPr>
          <w:rFonts w:ascii="Palatino Linotype" w:hAnsi="Palatino Linotype" w:cs="Arial"/>
          <w:b/>
          <w:bCs/>
        </w:rPr>
        <w:t xml:space="preserve"> </w:t>
      </w:r>
      <w:r w:rsidRPr="00D54F5D">
        <w:rPr>
          <w:rFonts w:ascii="Palatino Linotype" w:hAnsi="Palatino Linotype" w:cs="Arial"/>
        </w:rPr>
        <w:t xml:space="preserve">tuvo conocimiento de la respuesta </w:t>
      </w:r>
      <w:r w:rsidRPr="00D54F5D">
        <w:rPr>
          <w:rFonts w:ascii="Palatino Linotype" w:hAnsi="Palatino Linotype"/>
        </w:rPr>
        <w:t>impugnada</w:t>
      </w:r>
      <w:r w:rsidRPr="00D54F5D">
        <w:rPr>
          <w:rFonts w:ascii="Palatino Linotype" w:hAnsi="Palatino Linotype" w:cs="Arial"/>
        </w:rPr>
        <w:t>, tal y como lo prevé el artículo 178 de la Ley de Transparencia y Acceso a la Información Pública del Estado de México y Municipios, que establece:</w:t>
      </w:r>
    </w:p>
    <w:p w:rsidR="00B32835" w:rsidRPr="00D54F5D" w:rsidRDefault="00B32835" w:rsidP="00B32835">
      <w:pPr>
        <w:spacing w:before="200" w:after="200"/>
        <w:ind w:left="851" w:right="899"/>
        <w:jc w:val="both"/>
        <w:rPr>
          <w:rFonts w:ascii="Palatino Linotype" w:hAnsi="Palatino Linotype" w:cs="Arial"/>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Artículo 178.</w:t>
      </w:r>
      <w:r w:rsidRPr="00D54F5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835" w:rsidRPr="00D54F5D" w:rsidRDefault="00B32835" w:rsidP="00B32835">
      <w:pPr>
        <w:spacing w:before="200" w:after="200"/>
        <w:ind w:left="851" w:right="899"/>
        <w:jc w:val="both"/>
        <w:rPr>
          <w:rFonts w:ascii="Palatino Linotype" w:hAnsi="Palatino Linotype" w:cs="Arial"/>
          <w:i/>
          <w:sz w:val="22"/>
          <w:szCs w:val="22"/>
        </w:rPr>
      </w:pPr>
      <w:r w:rsidRPr="00D54F5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835" w:rsidRPr="00D54F5D" w:rsidRDefault="00B32835" w:rsidP="00B32835">
      <w:pPr>
        <w:spacing w:before="200" w:after="200"/>
        <w:ind w:left="851" w:right="899"/>
        <w:jc w:val="both"/>
        <w:rPr>
          <w:rFonts w:ascii="Palatino Linotype" w:hAnsi="Palatino Linotype" w:cs="Arial"/>
          <w:i/>
          <w:sz w:val="22"/>
          <w:szCs w:val="22"/>
        </w:rPr>
      </w:pPr>
      <w:r w:rsidRPr="00D54F5D">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D54F5D">
        <w:rPr>
          <w:rFonts w:ascii="Palatino Linotype" w:hAnsi="Palatino Linotype" w:cs="Arial"/>
          <w:i/>
          <w:sz w:val="22"/>
          <w:szCs w:val="22"/>
          <w:lang w:eastAsia="es-MX"/>
        </w:rPr>
        <w:t>siguiente</w:t>
      </w:r>
      <w:r w:rsidRPr="00D54F5D">
        <w:rPr>
          <w:rFonts w:ascii="Palatino Linotype" w:hAnsi="Palatino Linotype" w:cs="Arial"/>
          <w:i/>
          <w:sz w:val="22"/>
          <w:szCs w:val="22"/>
        </w:rPr>
        <w:t xml:space="preserve"> de haberlo recibido.”</w:t>
      </w:r>
    </w:p>
    <w:p w:rsidR="00B32835" w:rsidRPr="00D54F5D" w:rsidRDefault="00B32835" w:rsidP="00B32835">
      <w:pPr>
        <w:spacing w:before="100" w:beforeAutospacing="1" w:after="100" w:afterAutospacing="1" w:line="360" w:lineRule="auto"/>
        <w:jc w:val="both"/>
        <w:rPr>
          <w:rFonts w:ascii="Palatino Linotype" w:hAnsi="Palatino Linotype"/>
        </w:rPr>
      </w:pPr>
      <w:r w:rsidRPr="00D54F5D">
        <w:rPr>
          <w:rFonts w:ascii="Palatino Linotype" w:hAnsi="Palatino Linotype" w:cs="Arial"/>
        </w:rPr>
        <w:t xml:space="preserve">En esa tesitura, atendiendo a que </w:t>
      </w:r>
      <w:r w:rsidRPr="00D54F5D">
        <w:rPr>
          <w:rFonts w:ascii="Palatino Linotype" w:hAnsi="Palatino Linotype" w:cs="Arial"/>
          <w:b/>
        </w:rPr>
        <w:t>EL SUJETO OBLIGADO</w:t>
      </w:r>
      <w:r w:rsidRPr="00D54F5D">
        <w:rPr>
          <w:rFonts w:ascii="Palatino Linotype" w:hAnsi="Palatino Linotype" w:cs="Arial"/>
        </w:rPr>
        <w:t xml:space="preserve"> notificó la respuesta a la solicitud de información pública el día </w:t>
      </w:r>
      <w:r w:rsidRPr="00D54F5D">
        <w:rPr>
          <w:rFonts w:ascii="Palatino Linotype" w:hAnsi="Palatino Linotype" w:cs="Arial"/>
          <w:b/>
        </w:rPr>
        <w:t>veintinueve de abril de dos mil diecinueve</w:t>
      </w:r>
      <w:r w:rsidRPr="00D54F5D">
        <w:rPr>
          <w:rFonts w:ascii="Palatino Linotype" w:hAnsi="Palatino Linotype" w:cs="Arial"/>
        </w:rPr>
        <w:t>; así, el plazo de quince días hábiles que el artículo 178 de la Ley de la materia otorga al hoy</w:t>
      </w:r>
      <w:r w:rsidRPr="00D54F5D">
        <w:rPr>
          <w:rFonts w:ascii="Palatino Linotype" w:hAnsi="Palatino Linotype" w:cs="Arial"/>
          <w:b/>
        </w:rPr>
        <w:t xml:space="preserve"> RECURRENTE </w:t>
      </w:r>
      <w:r w:rsidRPr="00D54F5D">
        <w:rPr>
          <w:rFonts w:ascii="Palatino Linotype" w:hAnsi="Palatino Linotype" w:cs="Arial"/>
        </w:rPr>
        <w:t>para presentar el recurso de revisión, transcurrió del</w:t>
      </w:r>
      <w:r w:rsidRPr="00D54F5D">
        <w:rPr>
          <w:rFonts w:ascii="Palatino Linotype" w:hAnsi="Palatino Linotype" w:cs="Arial"/>
          <w:b/>
        </w:rPr>
        <w:t xml:space="preserve"> treinta de abril al veintidós de mayo de dos mil diecinueve</w:t>
      </w:r>
      <w:r w:rsidRPr="00D54F5D">
        <w:rPr>
          <w:rFonts w:ascii="Palatino Linotype" w:hAnsi="Palatino Linotype" w:cs="Arial"/>
        </w:rPr>
        <w:t xml:space="preserve">, sin contemplar en el cómputo los días cuatro, cinco, once, doce, dieciocho y diecinueve, de mayo del presente año, por corresponder a sábados y domingos, en términos del artículo 3, fracción X, de la </w:t>
      </w:r>
      <w:r w:rsidRPr="00D54F5D">
        <w:rPr>
          <w:rFonts w:ascii="Palatino Linotype" w:hAnsi="Palatino Linotype"/>
        </w:rPr>
        <w:t>Ley de Transparencia y Acceso a la Información Pública del Estado de México y Municipios</w:t>
      </w:r>
      <w:r w:rsidRPr="00D54F5D">
        <w:rPr>
          <w:rFonts w:ascii="Palatino Linotype" w:hAnsi="Palatino Linotype" w:cs="Arial"/>
        </w:rPr>
        <w:t>, así como, los días uno y seis de mayo de dos mil diecinueve, por ser considerados inhábiles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D54F5D">
        <w:rPr>
          <w:rFonts w:ascii="Palatino Linotype" w:hAnsi="Palatino Linotype"/>
        </w:rPr>
        <w:t>.</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Si bien es cierto que, </w:t>
      </w:r>
      <w:r w:rsidRPr="00D54F5D">
        <w:rPr>
          <w:rFonts w:ascii="Palatino Linotype" w:hAnsi="Palatino Linotype" w:cs="Arial"/>
          <w:b/>
          <w:color w:val="000000"/>
        </w:rPr>
        <w:t>EL RECURRENTE</w:t>
      </w:r>
      <w:r w:rsidRPr="00D54F5D">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D54F5D">
        <w:rPr>
          <w:rFonts w:ascii="Palatino Linotype" w:hAnsi="Palatino Linotype" w:cs="Arial"/>
          <w:b/>
          <w:color w:val="000000"/>
        </w:rPr>
        <w:t>EL RECURRENTE</w:t>
      </w:r>
      <w:r w:rsidRPr="00D54F5D">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lastRenderedPageBreak/>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32835" w:rsidRPr="00D54F5D" w:rsidRDefault="00B32835" w:rsidP="00B32835">
      <w:pPr>
        <w:pStyle w:val="Prrafodelista"/>
        <w:ind w:left="851" w:right="902"/>
        <w:jc w:val="both"/>
        <w:rPr>
          <w:rFonts w:ascii="Palatino Linotype" w:hAnsi="Palatino Linotype" w:cs="Arial"/>
          <w:b/>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 xml:space="preserve">RECURSO DE RECLAMACIÓN. SU INTERPOSICIÓN NO ES EXTEMPORÁNEA SI SE </w:t>
      </w:r>
      <w:r w:rsidRPr="00D54F5D">
        <w:rPr>
          <w:rFonts w:ascii="Palatino Linotype" w:hAnsi="Palatino Linotype" w:cs="Arial"/>
          <w:b/>
          <w:i/>
          <w:color w:val="000000"/>
          <w:sz w:val="22"/>
          <w:szCs w:val="22"/>
        </w:rPr>
        <w:t>REALIZA</w:t>
      </w:r>
      <w:r w:rsidRPr="00D54F5D">
        <w:rPr>
          <w:rFonts w:ascii="Palatino Linotype" w:hAnsi="Palatino Linotype" w:cs="Arial"/>
          <w:b/>
          <w:i/>
          <w:sz w:val="22"/>
          <w:szCs w:val="22"/>
        </w:rPr>
        <w:t xml:space="preserve"> ANTES DE QUE INICIE EL PLAZO PARA HACERLO.</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 xml:space="preserve">Conforme al artículo 104, párrafo segundo, de la Ley de Amparo, el recurso de reclamación podrá interponerse por </w:t>
      </w:r>
      <w:r w:rsidRPr="00D54F5D">
        <w:rPr>
          <w:rFonts w:ascii="Palatino Linotype" w:hAnsi="Palatino Linotype" w:cs="Arial"/>
          <w:i/>
          <w:color w:val="000000"/>
          <w:sz w:val="22"/>
          <w:szCs w:val="22"/>
        </w:rPr>
        <w:t>cualquiera</w:t>
      </w:r>
      <w:r w:rsidRPr="00D54F5D">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w:t>
      </w:r>
      <w:r w:rsidRPr="00D54F5D">
        <w:rPr>
          <w:rFonts w:ascii="Palatino Linotype" w:hAnsi="Palatino Linotype" w:cs="Arial"/>
          <w:i/>
          <w:sz w:val="22"/>
          <w:szCs w:val="22"/>
        </w:rPr>
        <w:lastRenderedPageBreak/>
        <w:t>Mena. Ponente: Arturo Zaldívar Lelo de Larrea. Secretario: Saúl Armando Patiño Lara.</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Tesis de jurisprudencia 41/2015 (10a.). Aprobada por la Primera Sala de este Alto Tribunal, en sesión privada de veintisiete de mayo de dos mil quince.</w:t>
      </w:r>
    </w:p>
    <w:p w:rsidR="00B32835" w:rsidRPr="00D54F5D" w:rsidRDefault="00B32835" w:rsidP="00B32835">
      <w:pPr>
        <w:pStyle w:val="Prrafodelista"/>
        <w:ind w:left="851" w:right="902"/>
        <w:jc w:val="both"/>
        <w:rPr>
          <w:rFonts w:ascii="Palatino Linotype" w:hAnsi="Palatino Linotype" w:cs="Arial"/>
          <w:i/>
          <w:sz w:val="22"/>
          <w:szCs w:val="22"/>
        </w:rPr>
      </w:pPr>
      <w:r w:rsidRPr="00D54F5D">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En ese tenor, si el recurso de revisión que nos ocupa, se interpuso el día</w:t>
      </w:r>
      <w:r w:rsidRPr="00D54F5D">
        <w:rPr>
          <w:rFonts w:ascii="Palatino Linotype" w:hAnsi="Palatino Linotype" w:cs="Arial"/>
          <w:b/>
        </w:rPr>
        <w:t xml:space="preserve"> veintinueve de abril de dos mil diecinueve, </w:t>
      </w:r>
      <w:r w:rsidRPr="00D54F5D">
        <w:rPr>
          <w:rFonts w:ascii="Palatino Linotype" w:hAnsi="Palatino Linotype" w:cs="Arial"/>
        </w:rPr>
        <w:t>éste se encuentra dentro de los márgenes temporales previstos en el precepto legal señalado en el párrafo anterior y, por tanto, su interposición se considera oportuna.</w:t>
      </w:r>
    </w:p>
    <w:p w:rsidR="00B32835" w:rsidRPr="00D54F5D" w:rsidRDefault="00B32835" w:rsidP="00B3283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D54F5D">
        <w:rPr>
          <w:rFonts w:ascii="Palatino Linotype" w:hAnsi="Palatino Linotype" w:cs="Arial"/>
          <w:b/>
          <w:sz w:val="28"/>
          <w:szCs w:val="28"/>
        </w:rPr>
        <w:t>CUARTO.</w:t>
      </w:r>
      <w:r w:rsidRPr="00D54F5D">
        <w:rPr>
          <w:rFonts w:ascii="Palatino Linotype" w:hAnsi="Palatino Linotype" w:cs="Arial"/>
          <w:b/>
          <w:szCs w:val="28"/>
        </w:rPr>
        <w:t xml:space="preserve"> Procedibilidad. </w:t>
      </w:r>
      <w:r w:rsidRPr="00D54F5D">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D54F5D">
        <w:rPr>
          <w:rFonts w:ascii="Palatino Linotype" w:hAnsi="Palatino Linotype" w:cs="Arial"/>
          <w:b/>
          <w:szCs w:val="28"/>
        </w:rPr>
        <w:t>SAIMEX</w:t>
      </w:r>
      <w:r w:rsidRPr="00D54F5D">
        <w:rPr>
          <w:rFonts w:ascii="Palatino Linotype" w:hAnsi="Palatino Linotype" w:cs="Arial"/>
          <w:szCs w:val="28"/>
        </w:rPr>
        <w:t xml:space="preserve">. </w:t>
      </w:r>
    </w:p>
    <w:p w:rsidR="00B32835" w:rsidRPr="00D54F5D" w:rsidRDefault="00B32835" w:rsidP="00B3283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D54F5D">
        <w:rPr>
          <w:rFonts w:ascii="Palatino Linotype" w:hAnsi="Palatino Linotype" w:cs="Arial"/>
          <w:b/>
          <w:sz w:val="28"/>
          <w:szCs w:val="28"/>
        </w:rPr>
        <w:t>QUINTO.</w:t>
      </w:r>
      <w:r w:rsidRPr="00D54F5D">
        <w:rPr>
          <w:rFonts w:ascii="Palatino Linotype" w:hAnsi="Palatino Linotype" w:cs="Arial"/>
          <w:b/>
          <w:color w:val="000000" w:themeColor="text1"/>
        </w:rPr>
        <w:t xml:space="preserve"> </w:t>
      </w:r>
      <w:r w:rsidRPr="00D54F5D">
        <w:rPr>
          <w:rFonts w:ascii="Palatino Linotype" w:hAnsi="Palatino Linotype" w:cs="Arial"/>
          <w:b/>
          <w:color w:val="000000"/>
        </w:rPr>
        <w:t>Estudio y resolución del asunto.</w:t>
      </w:r>
      <w:r w:rsidRPr="00D54F5D">
        <w:rPr>
          <w:rFonts w:ascii="Palatino Linotype" w:hAnsi="Palatino Linotype" w:cs="Arial"/>
        </w:rPr>
        <w:t xml:space="preserve"> </w:t>
      </w:r>
      <w:r w:rsidRPr="00D54F5D">
        <w:rPr>
          <w:rFonts w:ascii="Palatino Linotype" w:hAnsi="Palatino Linotype"/>
        </w:rPr>
        <w:t xml:space="preserve">Una vez determinada la vía sobre la que versará el presente recurso y previa revisión del expediente electrónico formado en </w:t>
      </w:r>
      <w:r w:rsidRPr="00D54F5D">
        <w:rPr>
          <w:rFonts w:ascii="Palatino Linotype" w:hAnsi="Palatino Linotype"/>
          <w:b/>
        </w:rPr>
        <w:t>EL SAIMEX</w:t>
      </w:r>
      <w:r w:rsidRPr="00D54F5D">
        <w:rPr>
          <w:rFonts w:ascii="Palatino Linotype" w:hAnsi="Palatino Linotype"/>
        </w:rPr>
        <w:t xml:space="preserve"> motivo de la solicitud de información, se precisa que </w:t>
      </w:r>
      <w:r w:rsidRPr="00D54F5D">
        <w:rPr>
          <w:rFonts w:ascii="Palatino Linotype" w:hAnsi="Palatino Linotype"/>
          <w:b/>
          <w:color w:val="000000"/>
        </w:rPr>
        <w:t>EL RECURRENTE</w:t>
      </w:r>
      <w:r w:rsidRPr="00D54F5D">
        <w:rPr>
          <w:rFonts w:ascii="Palatino Linotype" w:hAnsi="Palatino Linotype"/>
          <w:color w:val="000000"/>
        </w:rPr>
        <w:t xml:space="preserve"> solicitó al </w:t>
      </w:r>
      <w:r w:rsidRPr="00D54F5D">
        <w:rPr>
          <w:rFonts w:ascii="Palatino Linotype" w:hAnsi="Palatino Linotype" w:cs="Arial"/>
          <w:b/>
          <w:color w:val="000000"/>
        </w:rPr>
        <w:t>SUJETO OBLIGADO</w:t>
      </w:r>
      <w:r w:rsidRPr="00D54F5D">
        <w:rPr>
          <w:rFonts w:ascii="Palatino Linotype" w:hAnsi="Palatino Linotype"/>
          <w:color w:val="000000"/>
        </w:rPr>
        <w:t xml:space="preserve"> le proporcionara en formato PDF todos los permisos otorgados a los bares y antros del centro histórico del Municipio, del periodo correspondiente al 1 de enero de 2016 al 1 de abril de 2019.</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Bajo ese tenor, el Director de Desarrollo Económico, Turismo y Artesanal, en respuesta señaló que con fundamento en la normativa de la materia, la dependencia a su cargo autoriza el funcionamiento de diferentes establecimientos; sin embargo, no expide </w:t>
      </w:r>
      <w:r w:rsidRPr="00D54F5D">
        <w:rPr>
          <w:rFonts w:ascii="Palatino Linotype" w:hAnsi="Palatino Linotype" w:cs="Arial"/>
        </w:rPr>
        <w:lastRenderedPageBreak/>
        <w:t xml:space="preserve">permisos para la venta de bebidas alcohólicas para consumo inmediato, </w:t>
      </w:r>
      <w:r w:rsidR="00B02142" w:rsidRPr="00D54F5D">
        <w:rPr>
          <w:rFonts w:ascii="Palatino Linotype" w:hAnsi="Palatino Linotype" w:cs="Arial"/>
        </w:rPr>
        <w:t xml:space="preserve">así como que, </w:t>
      </w:r>
      <w:r w:rsidRPr="00D54F5D">
        <w:rPr>
          <w:rFonts w:ascii="Palatino Linotype" w:hAnsi="Palatino Linotype" w:cs="Arial"/>
        </w:rPr>
        <w:t xml:space="preserve">el terminó </w:t>
      </w:r>
      <w:r w:rsidR="00B02142" w:rsidRPr="00D54F5D">
        <w:rPr>
          <w:rFonts w:ascii="Palatino Linotype" w:hAnsi="Palatino Linotype" w:cs="Arial"/>
        </w:rPr>
        <w:t>“</w:t>
      </w:r>
      <w:r w:rsidRPr="00D54F5D">
        <w:rPr>
          <w:rFonts w:ascii="Palatino Linotype" w:hAnsi="Palatino Linotype" w:cs="Arial"/>
        </w:rPr>
        <w:t>antros</w:t>
      </w:r>
      <w:r w:rsidR="00B02142" w:rsidRPr="00D54F5D">
        <w:rPr>
          <w:rFonts w:ascii="Palatino Linotype" w:hAnsi="Palatino Linotype" w:cs="Arial"/>
        </w:rPr>
        <w:t>”</w:t>
      </w:r>
      <w:r w:rsidRPr="00D54F5D">
        <w:rPr>
          <w:rFonts w:ascii="Palatino Linotype" w:hAnsi="Palatino Linotype" w:cs="Arial"/>
        </w:rPr>
        <w:t xml:space="preserve"> no figura en nuestro catálogo y tampoco en el Código Financiero del Estado de México y Municipios, viéndose imposibilitado para atender la solicitud de información.</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Inconforme con la respuesta otorgada, </w:t>
      </w:r>
      <w:r w:rsidRPr="00D54F5D">
        <w:rPr>
          <w:rFonts w:ascii="Palatino Linotype" w:hAnsi="Palatino Linotype" w:cs="Arial"/>
          <w:b/>
        </w:rPr>
        <w:t>EL RECURRENTE</w:t>
      </w:r>
      <w:r w:rsidRPr="00D54F5D">
        <w:rPr>
          <w:rFonts w:ascii="Palatino Linotype" w:hAnsi="Palatino Linotype" w:cs="Arial"/>
        </w:rPr>
        <w:t xml:space="preserve"> interpuso el recurso de revisión que nos ocupa, en el que refirió lo establecido en el Resultando IV de la presente resolución.</w:t>
      </w:r>
    </w:p>
    <w:p w:rsidR="00B32835" w:rsidRPr="00D54F5D" w:rsidRDefault="00B32835" w:rsidP="00B32835">
      <w:pPr>
        <w:spacing w:before="100" w:beforeAutospacing="1" w:after="100" w:afterAutospacing="1" w:line="360" w:lineRule="auto"/>
        <w:jc w:val="both"/>
        <w:rPr>
          <w:rFonts w:ascii="Palatino Linotype" w:hAnsi="Palatino Linotype" w:cs="Arial"/>
          <w:lang w:eastAsia="es-MX"/>
        </w:rPr>
      </w:pPr>
      <w:r w:rsidRPr="00D54F5D">
        <w:rPr>
          <w:rFonts w:ascii="Palatino Linotype" w:hAnsi="Palatino Linotype" w:cs="Arial"/>
          <w:lang w:eastAsia="es-MX"/>
        </w:rPr>
        <w:t xml:space="preserve">Bajo ese tenor, es necesario precisar que </w:t>
      </w:r>
      <w:r w:rsidRPr="00D54F5D">
        <w:rPr>
          <w:rFonts w:ascii="Palatino Linotype" w:hAnsi="Palatino Linotype" w:cs="Arial"/>
          <w:b/>
          <w:lang w:eastAsia="es-MX"/>
        </w:rPr>
        <w:t xml:space="preserve">EL RECURRENTE </w:t>
      </w:r>
      <w:r w:rsidRPr="00D54F5D">
        <w:rPr>
          <w:rFonts w:ascii="Palatino Linotype" w:hAnsi="Palatino Linotype" w:cs="Arial"/>
          <w:lang w:eastAsia="es-MX"/>
        </w:rPr>
        <w:t xml:space="preserve">fue omiso en realizar manifestaciones en torno a los recursos de revisión objeto del presente estudio; mientras que por su parte </w:t>
      </w:r>
      <w:r w:rsidRPr="00D54F5D">
        <w:rPr>
          <w:rFonts w:ascii="Palatino Linotype" w:hAnsi="Palatino Linotype" w:cs="Arial"/>
          <w:b/>
          <w:lang w:eastAsia="es-MX"/>
        </w:rPr>
        <w:t xml:space="preserve">EL SUJETO OBLIGADO </w:t>
      </w:r>
      <w:r w:rsidRPr="00D54F5D">
        <w:rPr>
          <w:rFonts w:ascii="Palatino Linotype" w:hAnsi="Palatino Linotype" w:cs="Arial"/>
          <w:lang w:eastAsia="es-MX"/>
        </w:rPr>
        <w:t>rindió el Informe Justificado correspondiente, mediante el que esencialmente ratificó su respuesta.</w:t>
      </w:r>
    </w:p>
    <w:p w:rsidR="00B32835" w:rsidRPr="00D54F5D" w:rsidRDefault="00B32835" w:rsidP="00B32835">
      <w:pPr>
        <w:spacing w:line="360" w:lineRule="auto"/>
        <w:jc w:val="both"/>
        <w:rPr>
          <w:rFonts w:ascii="Palatino Linotype" w:hAnsi="Palatino Linotype" w:cs="Arial"/>
          <w:lang w:eastAsia="es-MX"/>
        </w:rPr>
      </w:pPr>
      <w:r w:rsidRPr="00D54F5D">
        <w:rPr>
          <w:rFonts w:ascii="Palatino Linotype" w:hAnsi="Palatino Linotype" w:cs="Arial"/>
          <w:lang w:eastAsia="es-MX"/>
        </w:rPr>
        <w:t xml:space="preserve">Así, se advierte que </w:t>
      </w:r>
      <w:r w:rsidRPr="00D54F5D">
        <w:rPr>
          <w:rFonts w:ascii="Palatino Linotype" w:hAnsi="Palatino Linotype" w:cs="Arial"/>
          <w:b/>
          <w:lang w:eastAsia="es-MX"/>
        </w:rPr>
        <w:t>EL RECURRENTE</w:t>
      </w:r>
      <w:r w:rsidRPr="00D54F5D">
        <w:rPr>
          <w:rFonts w:ascii="Palatino Linotype" w:hAnsi="Palatino Linotype" w:cs="Arial"/>
          <w:lang w:eastAsia="es-MX"/>
        </w:rPr>
        <w:t xml:space="preserve"> al haberse manifestado en la interposición del recurso como razones o motivos de inconformidad la respuesta a la solicitud, esta Ponencia considera conveniente entrar al estudio de lo solicitado, a fin de verificar si efectivamente se trata de información pública que pudiera ser generada, poseída y administrada por </w:t>
      </w:r>
      <w:r w:rsidRPr="00D54F5D">
        <w:rPr>
          <w:rFonts w:ascii="Palatino Linotype" w:hAnsi="Palatino Linotype" w:cs="Arial"/>
          <w:b/>
          <w:lang w:eastAsia="es-MX"/>
        </w:rPr>
        <w:t>EL</w:t>
      </w:r>
      <w:r w:rsidRPr="00D54F5D">
        <w:rPr>
          <w:rFonts w:ascii="Palatino Linotype" w:hAnsi="Palatino Linotype" w:cs="Arial"/>
          <w:lang w:eastAsia="es-MX"/>
        </w:rPr>
        <w:t xml:space="preserve"> </w:t>
      </w:r>
      <w:r w:rsidRPr="00D54F5D">
        <w:rPr>
          <w:rFonts w:ascii="Palatino Linotype" w:hAnsi="Palatino Linotype" w:cs="Arial"/>
          <w:b/>
          <w:lang w:eastAsia="es-MX"/>
        </w:rPr>
        <w:t>SUJETO OBLIGADO</w:t>
      </w:r>
      <w:r w:rsidRPr="00D54F5D">
        <w:rPr>
          <w:rFonts w:ascii="Palatino Linotype" w:hAnsi="Palatino Linotype" w:cs="Arial"/>
          <w:lang w:eastAsia="es-MX"/>
        </w:rPr>
        <w:t xml:space="preserve"> y si la misma es susceptible de ser entrega al solicitante. </w:t>
      </w:r>
    </w:p>
    <w:p w:rsidR="00B32835" w:rsidRPr="00D54F5D" w:rsidRDefault="00B32835" w:rsidP="00B32835">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54F5D">
        <w:rPr>
          <w:rFonts w:ascii="Palatino Linotype" w:hAnsi="Palatino Linotype" w:cs="Arial"/>
        </w:rPr>
        <w:t xml:space="preserve">En ese sentido, es oportuno enfatizar lo que, respecto al derecho de acceso a la </w:t>
      </w:r>
      <w:r w:rsidRPr="00D54F5D">
        <w:rPr>
          <w:rStyle w:val="d"/>
          <w:rFonts w:ascii="Palatino Linotype" w:eastAsia="Arial Unicode MS" w:hAnsi="Palatino Linotype"/>
          <w:bCs/>
        </w:rPr>
        <w:t>información</w:t>
      </w:r>
      <w:r w:rsidRPr="00D54F5D">
        <w:rPr>
          <w:rFonts w:ascii="Palatino Linotype" w:hAnsi="Palatino Linotype" w:cs="Arial"/>
        </w:rPr>
        <w:t xml:space="preserve"> pública, refiere el artículo 6° apartado A de la Constitución Política de los Estados Unidos Mexicanos, que en su parte conducente señala:</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Artículo 6o.</w:t>
      </w:r>
      <w:r w:rsidRPr="00D54F5D">
        <w:rPr>
          <w:rFonts w:ascii="Palatino Linotype" w:hAnsi="Palatino Linotype" w:cs="Arial"/>
          <w:i/>
          <w:sz w:val="22"/>
          <w:szCs w:val="22"/>
        </w:rPr>
        <w:t xml:space="preserve"> La manifestación de las ideas no será objeto de ninguna inquisición judicial o administrativa, </w:t>
      </w:r>
      <w:r w:rsidRPr="00D54F5D">
        <w:rPr>
          <w:rFonts w:ascii="Palatino Linotype" w:hAnsi="Palatino Linotype" w:cs="Arial"/>
          <w:bCs/>
          <w:i/>
          <w:sz w:val="22"/>
          <w:szCs w:val="22"/>
        </w:rPr>
        <w:t>sino</w:t>
      </w:r>
      <w:r w:rsidRPr="00D54F5D">
        <w:rPr>
          <w:rFonts w:ascii="Palatino Linotype" w:hAnsi="Palatino Linotype" w:cs="Arial"/>
          <w:i/>
          <w:sz w:val="22"/>
          <w:szCs w:val="22"/>
        </w:rPr>
        <w:t xml:space="preserve"> en el caso de que ataque a la moral, la vida privada o los derechos de terceros, provoque algún delito, o perturbe el orden público; el derecho </w:t>
      </w:r>
      <w:r w:rsidRPr="00D54F5D">
        <w:rPr>
          <w:rFonts w:ascii="Palatino Linotype" w:hAnsi="Palatino Linotype" w:cs="Arial"/>
          <w:i/>
          <w:sz w:val="22"/>
          <w:szCs w:val="22"/>
        </w:rPr>
        <w:lastRenderedPageBreak/>
        <w:t xml:space="preserve">de réplica será ejercido en los términos dispuestos por la ley. </w:t>
      </w:r>
      <w:r w:rsidRPr="00D54F5D">
        <w:rPr>
          <w:rFonts w:ascii="Palatino Linotype" w:hAnsi="Palatino Linotype" w:cs="Arial"/>
          <w:b/>
          <w:i/>
          <w:sz w:val="22"/>
          <w:szCs w:val="22"/>
        </w:rPr>
        <w:t>El derecho a la información será garantizado por el Estado.</w:t>
      </w:r>
      <w:r w:rsidRPr="00D54F5D">
        <w:rPr>
          <w:rFonts w:ascii="Palatino Linotype" w:hAnsi="Palatino Linotype" w:cs="Arial"/>
          <w:i/>
          <w:sz w:val="22"/>
          <w:szCs w:val="22"/>
        </w:rPr>
        <w:t xml:space="preserve"> </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Para efectos de lo dispuesto en el presente artículo se observará lo siguiente:</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b/>
          <w:i/>
          <w:sz w:val="22"/>
          <w:szCs w:val="22"/>
        </w:rPr>
        <w:t>A.</w:t>
      </w:r>
      <w:r w:rsidRPr="00D54F5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b/>
          <w:i/>
          <w:sz w:val="22"/>
          <w:szCs w:val="22"/>
        </w:rPr>
        <w:t>I. Toda la información en posesión de</w:t>
      </w:r>
      <w:r w:rsidRPr="00D54F5D">
        <w:rPr>
          <w:rFonts w:ascii="Palatino Linotype" w:hAnsi="Palatino Linotype" w:cs="Arial"/>
          <w:i/>
          <w:sz w:val="22"/>
          <w:szCs w:val="22"/>
        </w:rPr>
        <w:t xml:space="preserve"> </w:t>
      </w:r>
      <w:r w:rsidRPr="00D54F5D">
        <w:rPr>
          <w:rFonts w:ascii="Palatino Linotype" w:hAnsi="Palatino Linotype" w:cs="Arial"/>
          <w:b/>
          <w:i/>
          <w:sz w:val="22"/>
          <w:szCs w:val="22"/>
        </w:rPr>
        <w:t>cualquier autoridad</w:t>
      </w:r>
      <w:r w:rsidRPr="00D54F5D">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54F5D">
        <w:rPr>
          <w:rFonts w:ascii="Palatino Linotype" w:hAnsi="Palatino Linotype" w:cs="Arial"/>
          <w:b/>
          <w:i/>
          <w:sz w:val="22"/>
          <w:szCs w:val="22"/>
        </w:rPr>
        <w:t>es pública</w:t>
      </w:r>
      <w:r w:rsidRPr="00D54F5D">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54F5D">
        <w:rPr>
          <w:rFonts w:ascii="Palatino Linotype" w:hAnsi="Palatino Linotype" w:cs="Arial"/>
          <w:b/>
          <w:i/>
          <w:sz w:val="22"/>
          <w:szCs w:val="22"/>
        </w:rPr>
        <w:t>Los sujetos obligados deberán documentar todo acto que derive del ejercicio de sus facultades, competencias o funciones</w:t>
      </w:r>
      <w:r w:rsidRPr="00D54F5D">
        <w:rPr>
          <w:rFonts w:ascii="Palatino Linotype" w:hAnsi="Palatino Linotype" w:cs="Arial"/>
          <w:i/>
          <w:sz w:val="22"/>
          <w:szCs w:val="22"/>
        </w:rPr>
        <w:t>, la ley determinará los supuestos específicos bajo los cuales procederá la declaración de inexistencia de la información.</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II. La información que se refiere a la vida privada y los datos personales será protegida en los términos y con las excepciones que fijen las leyes.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54F5D">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VII. La inobservancia a las disposiciones en materia de acceso a la información pública será sancionada en los términos que dispongan las leyes.</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 xml:space="preserve">VIII. Federación contará con un organismo autónomo, especializado, imparcial, colegiado, con personalidad jurídica y patrimonio propio, con plena autonomía técnica, de gestión, capacidad para decidir sobre el ejercicio de su presupuesto y </w:t>
      </w:r>
      <w:r w:rsidRPr="00D54F5D">
        <w:rPr>
          <w:rFonts w:ascii="Palatino Linotype" w:hAnsi="Palatino Linotype" w:cs="Arial"/>
          <w:i/>
          <w:sz w:val="22"/>
          <w:szCs w:val="22"/>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cs="Arial"/>
          <w:i/>
          <w:sz w:val="22"/>
          <w:szCs w:val="22"/>
        </w:rPr>
        <w:t>La ley establecerá aquella información que se considere reservada o confidencial.”</w:t>
      </w:r>
    </w:p>
    <w:p w:rsidR="00B32835" w:rsidRPr="00D54F5D" w:rsidRDefault="00B32835" w:rsidP="00B32835">
      <w:pPr>
        <w:ind w:left="851" w:right="992"/>
        <w:jc w:val="both"/>
        <w:rPr>
          <w:rFonts w:ascii="Palatino Linotype" w:hAnsi="Palatino Linotype"/>
          <w:sz w:val="22"/>
          <w:szCs w:val="22"/>
        </w:rPr>
      </w:pPr>
      <w:r w:rsidRPr="00D54F5D">
        <w:rPr>
          <w:rFonts w:ascii="Palatino Linotype" w:hAnsi="Palatino Linotype"/>
          <w:sz w:val="22"/>
          <w:szCs w:val="22"/>
        </w:rPr>
        <w:t>(Énfasis añadido)</w:t>
      </w:r>
    </w:p>
    <w:p w:rsidR="00B32835" w:rsidRPr="00D54F5D" w:rsidRDefault="00B32835" w:rsidP="00B32835">
      <w:pPr>
        <w:pStyle w:val="Prrafodelista"/>
        <w:widowControl w:val="0"/>
        <w:autoSpaceDE w:val="0"/>
        <w:autoSpaceDN w:val="0"/>
        <w:adjustRightInd w:val="0"/>
        <w:spacing w:before="200" w:after="120" w:line="360" w:lineRule="auto"/>
        <w:ind w:left="0"/>
        <w:jc w:val="both"/>
        <w:rPr>
          <w:rFonts w:ascii="Palatino Linotype" w:hAnsi="Palatino Linotype" w:cs="Arial"/>
        </w:rPr>
      </w:pPr>
      <w:r w:rsidRPr="00D54F5D">
        <w:rPr>
          <w:rFonts w:ascii="Palatino Linotype" w:hAnsi="Palatino Linotype" w:cs="Arial"/>
        </w:rPr>
        <w:t>Por su parte, la Constitución Política del Estado Libre y Soberano de México, en su artículo 5°, párrafos vigésimo segundo, vigésimo tercero y vigésimo cuarto, fracciones I y VI, que disponen, en su parte conducente, lo siguiente:</w:t>
      </w:r>
    </w:p>
    <w:p w:rsidR="00B32835" w:rsidRPr="00D54F5D" w:rsidRDefault="00B32835" w:rsidP="00B32835">
      <w:pPr>
        <w:spacing w:before="120" w:after="120"/>
        <w:ind w:left="709" w:right="709"/>
        <w:jc w:val="both"/>
        <w:rPr>
          <w:rFonts w:ascii="Palatino Linotype" w:hAnsi="Palatino Linotype" w:cs="Arial"/>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 xml:space="preserve">Artículo 5. </w:t>
      </w:r>
      <w:r w:rsidRPr="00D54F5D">
        <w:rPr>
          <w:rFonts w:ascii="Palatino Linotype" w:hAnsi="Palatino Linotype" w:cs="Arial"/>
          <w:i/>
          <w:sz w:val="22"/>
          <w:szCs w:val="22"/>
        </w:rPr>
        <w:t xml:space="preserve">… </w:t>
      </w:r>
    </w:p>
    <w:p w:rsidR="00B32835" w:rsidRPr="00D54F5D" w:rsidRDefault="00B32835" w:rsidP="00B32835">
      <w:pPr>
        <w:spacing w:before="120" w:after="120"/>
        <w:ind w:left="709" w:right="709"/>
        <w:jc w:val="both"/>
        <w:rPr>
          <w:rFonts w:ascii="Palatino Linotype" w:hAnsi="Palatino Linotype"/>
          <w:i/>
          <w:sz w:val="22"/>
          <w:szCs w:val="22"/>
        </w:rPr>
      </w:pPr>
      <w:r w:rsidRPr="00D54F5D">
        <w:rPr>
          <w:rFonts w:ascii="Palatino Linotype" w:hAnsi="Palatino Linotype"/>
          <w:b/>
          <w:i/>
          <w:sz w:val="22"/>
          <w:szCs w:val="22"/>
        </w:rPr>
        <w:t>El derecho a la información será garantizado por el Estado</w:t>
      </w:r>
      <w:r w:rsidRPr="00D54F5D">
        <w:rPr>
          <w:rFonts w:ascii="Palatino Linotype" w:hAnsi="Palatino Linotype"/>
          <w:i/>
          <w:sz w:val="22"/>
          <w:szCs w:val="22"/>
        </w:rPr>
        <w:t xml:space="preserve">. La ley establecerá las previsiones que permitan asegurar la protección, el respeto y la difusión de este derecho. </w:t>
      </w:r>
    </w:p>
    <w:p w:rsidR="00B32835" w:rsidRPr="00D54F5D" w:rsidRDefault="00B32835" w:rsidP="00B32835">
      <w:pPr>
        <w:spacing w:before="120" w:after="120"/>
        <w:ind w:left="709" w:right="709"/>
        <w:jc w:val="both"/>
        <w:rPr>
          <w:rFonts w:ascii="Palatino Linotype" w:hAnsi="Palatino Linotype"/>
          <w:i/>
          <w:sz w:val="22"/>
          <w:szCs w:val="22"/>
        </w:rPr>
      </w:pPr>
      <w:r w:rsidRPr="00D54F5D">
        <w:rPr>
          <w:rFonts w:ascii="Palatino Linotype" w:hAnsi="Palatino Linotype"/>
          <w:i/>
          <w:sz w:val="22"/>
          <w:szCs w:val="22"/>
        </w:rPr>
        <w:t xml:space="preserve">Para garantizar el ejercicio </w:t>
      </w:r>
      <w:r w:rsidRPr="00D54F5D">
        <w:rPr>
          <w:rFonts w:ascii="Palatino Linotype" w:hAnsi="Palatino Linotype" w:cs="Arial"/>
          <w:bCs/>
          <w:i/>
          <w:sz w:val="22"/>
          <w:szCs w:val="22"/>
        </w:rPr>
        <w:t>del</w:t>
      </w:r>
      <w:r w:rsidRPr="00D54F5D">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32835" w:rsidRPr="00D54F5D" w:rsidRDefault="00B32835" w:rsidP="00B32835">
      <w:pPr>
        <w:spacing w:before="120" w:after="120"/>
        <w:ind w:left="709" w:right="709"/>
        <w:jc w:val="both"/>
        <w:rPr>
          <w:rFonts w:ascii="Palatino Linotype" w:hAnsi="Palatino Linotype"/>
          <w:i/>
          <w:sz w:val="22"/>
          <w:szCs w:val="22"/>
        </w:rPr>
      </w:pPr>
      <w:r w:rsidRPr="00D54F5D">
        <w:rPr>
          <w:rFonts w:ascii="Palatino Linotype" w:hAnsi="Palatino Linotype"/>
          <w:i/>
          <w:sz w:val="22"/>
          <w:szCs w:val="22"/>
        </w:rPr>
        <w:t>Este derecho se regirá por los principios y bases siguientes:</w:t>
      </w:r>
    </w:p>
    <w:p w:rsidR="00B32835" w:rsidRPr="00D54F5D" w:rsidRDefault="00B32835" w:rsidP="00B32835">
      <w:pPr>
        <w:spacing w:before="120"/>
        <w:ind w:left="709" w:right="709"/>
        <w:jc w:val="both"/>
        <w:rPr>
          <w:rFonts w:ascii="Palatino Linotype" w:hAnsi="Palatino Linotype"/>
          <w:i/>
          <w:sz w:val="22"/>
          <w:szCs w:val="22"/>
        </w:rPr>
      </w:pPr>
      <w:r w:rsidRPr="00D54F5D">
        <w:rPr>
          <w:rFonts w:ascii="Palatino Linotype" w:hAnsi="Palatino Linotype"/>
          <w:b/>
          <w:i/>
          <w:sz w:val="22"/>
          <w:szCs w:val="22"/>
        </w:rPr>
        <w:t xml:space="preserve">I. Toda la información en posesión </w:t>
      </w:r>
      <w:r w:rsidRPr="00D54F5D">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D54F5D">
        <w:rPr>
          <w:rFonts w:ascii="Palatino Linotype" w:hAnsi="Palatino Linotype"/>
          <w:b/>
          <w:i/>
          <w:sz w:val="22"/>
          <w:szCs w:val="22"/>
        </w:rPr>
        <w:t>del gobierno y de la administración pública municipal y sus organismos descentralizados</w:t>
      </w:r>
      <w:r w:rsidRPr="00D54F5D">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D54F5D">
        <w:rPr>
          <w:rFonts w:ascii="Palatino Linotype" w:hAnsi="Palatino Linotype"/>
          <w:b/>
          <w:i/>
          <w:sz w:val="22"/>
          <w:szCs w:val="22"/>
        </w:rPr>
        <w:t>es pública</w:t>
      </w:r>
      <w:r w:rsidRPr="00D54F5D">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D54F5D">
        <w:rPr>
          <w:rFonts w:ascii="Palatino Linotype" w:hAnsi="Palatino Linotype" w:cs="Arial"/>
          <w:bCs/>
          <w:i/>
          <w:sz w:val="22"/>
          <w:szCs w:val="22"/>
        </w:rPr>
        <w:t>interpretación</w:t>
      </w:r>
      <w:r w:rsidRPr="00D54F5D">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32835" w:rsidRPr="00D54F5D" w:rsidRDefault="00B32835" w:rsidP="00B32835">
      <w:pPr>
        <w:ind w:left="709" w:right="709"/>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spacing w:before="120" w:after="120"/>
        <w:ind w:left="709" w:right="709"/>
        <w:jc w:val="both"/>
        <w:rPr>
          <w:rFonts w:ascii="Palatino Linotype" w:hAnsi="Palatino Linotype"/>
          <w:i/>
          <w:sz w:val="22"/>
          <w:szCs w:val="22"/>
        </w:rPr>
      </w:pPr>
      <w:r w:rsidRPr="00D54F5D">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54F5D">
        <w:rPr>
          <w:rFonts w:ascii="Palatino Linotype" w:hAnsi="Palatino Linotype"/>
          <w:i/>
          <w:sz w:val="22"/>
          <w:szCs w:val="22"/>
        </w:rPr>
        <w:t xml:space="preserve"> y los indicadores que permitan rendir cuenta del cumplimiento de sus objetivos y los resultados obtenidos.”</w:t>
      </w:r>
    </w:p>
    <w:p w:rsidR="00B32835" w:rsidRPr="00D54F5D" w:rsidRDefault="00B32835" w:rsidP="00B32835">
      <w:pPr>
        <w:spacing w:before="120" w:after="120"/>
        <w:ind w:left="709" w:right="709"/>
        <w:jc w:val="both"/>
        <w:rPr>
          <w:rFonts w:ascii="Palatino Linotype" w:hAnsi="Palatino Linotype"/>
          <w:sz w:val="22"/>
          <w:szCs w:val="22"/>
        </w:rPr>
      </w:pPr>
      <w:r w:rsidRPr="00D54F5D">
        <w:rPr>
          <w:rFonts w:ascii="Palatino Linotype" w:hAnsi="Palatino Linotype"/>
          <w:sz w:val="22"/>
          <w:szCs w:val="22"/>
        </w:rPr>
        <w:lastRenderedPageBreak/>
        <w:t>(Énfasis añadido)</w:t>
      </w:r>
    </w:p>
    <w:p w:rsidR="00B32835" w:rsidRPr="00D54F5D" w:rsidRDefault="00B32835" w:rsidP="00B32835">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D54F5D">
        <w:rPr>
          <w:rFonts w:ascii="Palatino Linotype" w:hAnsi="Palatino Linotype" w:cs="Arial"/>
        </w:rPr>
        <w:t>Por su parte, tenemos que la Ley de Transparencia y Acceso a la Información Pública del Estado de México y Municipios, prevé en su artículo 23, lo siguiente:</w:t>
      </w:r>
    </w:p>
    <w:p w:rsidR="00B32835" w:rsidRPr="00D54F5D" w:rsidRDefault="00B32835" w:rsidP="00B32835">
      <w:pPr>
        <w:spacing w:before="120"/>
        <w:ind w:left="709" w:right="709"/>
        <w:jc w:val="both"/>
        <w:rPr>
          <w:rFonts w:ascii="Palatino Linotype" w:hAnsi="Palatino Linotype" w:cs="Arial"/>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 xml:space="preserve">Artículo 23. Son sujetos obligados a transparentar y permitir el acceso a su información y </w:t>
      </w:r>
      <w:r w:rsidRPr="00D54F5D">
        <w:rPr>
          <w:rFonts w:ascii="Palatino Linotype" w:hAnsi="Palatino Linotype"/>
          <w:b/>
          <w:i/>
          <w:sz w:val="22"/>
          <w:szCs w:val="22"/>
        </w:rPr>
        <w:t>proteger</w:t>
      </w:r>
      <w:r w:rsidRPr="00D54F5D">
        <w:rPr>
          <w:rFonts w:ascii="Palatino Linotype" w:hAnsi="Palatino Linotype" w:cs="Arial"/>
          <w:b/>
          <w:i/>
          <w:sz w:val="22"/>
          <w:szCs w:val="22"/>
        </w:rPr>
        <w:t xml:space="preserve"> los datos personales que obren en su poder</w:t>
      </w:r>
      <w:r w:rsidRPr="00D54F5D">
        <w:rPr>
          <w:rFonts w:ascii="Palatino Linotype" w:hAnsi="Palatino Linotype" w:cs="Arial"/>
          <w:i/>
          <w:sz w:val="22"/>
          <w:szCs w:val="22"/>
        </w:rPr>
        <w:t>:</w:t>
      </w:r>
    </w:p>
    <w:p w:rsidR="00B32835" w:rsidRPr="00D54F5D" w:rsidRDefault="00B32835" w:rsidP="00B32835">
      <w:pPr>
        <w:ind w:left="709" w:right="709"/>
        <w:jc w:val="both"/>
        <w:rPr>
          <w:rFonts w:ascii="Palatino Linotype" w:hAnsi="Palatino Linotype" w:cs="Arial"/>
          <w:i/>
          <w:sz w:val="22"/>
          <w:szCs w:val="22"/>
        </w:rPr>
      </w:pPr>
      <w:r w:rsidRPr="00D54F5D">
        <w:rPr>
          <w:rFonts w:ascii="Palatino Linotype" w:hAnsi="Palatino Linotype" w:cs="Arial"/>
          <w:i/>
          <w:sz w:val="22"/>
          <w:szCs w:val="22"/>
        </w:rPr>
        <w:t>…</w:t>
      </w:r>
    </w:p>
    <w:p w:rsidR="00B32835" w:rsidRPr="00D54F5D" w:rsidRDefault="00B32835" w:rsidP="00B32835">
      <w:pPr>
        <w:spacing w:before="120"/>
        <w:ind w:left="709" w:right="709"/>
        <w:jc w:val="both"/>
        <w:rPr>
          <w:rFonts w:ascii="Palatino Linotype" w:hAnsi="Palatino Linotype" w:cs="Arial"/>
          <w:b/>
          <w:i/>
          <w:sz w:val="22"/>
          <w:szCs w:val="22"/>
        </w:rPr>
      </w:pPr>
      <w:r w:rsidRPr="00D54F5D">
        <w:rPr>
          <w:rFonts w:ascii="Palatino Linotype" w:hAnsi="Palatino Linotype" w:cs="Arial"/>
          <w:b/>
          <w:i/>
          <w:sz w:val="22"/>
          <w:szCs w:val="22"/>
        </w:rPr>
        <w:t xml:space="preserve">IV. Los ayuntamientos </w:t>
      </w:r>
      <w:r w:rsidRPr="00D54F5D">
        <w:rPr>
          <w:rFonts w:ascii="Palatino Linotype" w:hAnsi="Palatino Linotype" w:cs="Arial"/>
          <w:i/>
          <w:sz w:val="22"/>
          <w:szCs w:val="22"/>
        </w:rPr>
        <w:t>y las dependencias, organismos, órganos y entidades de la administración municipal;</w:t>
      </w:r>
    </w:p>
    <w:p w:rsidR="00B32835" w:rsidRPr="00D54F5D" w:rsidRDefault="00B32835" w:rsidP="00B32835">
      <w:pPr>
        <w:ind w:left="709" w:right="709"/>
        <w:jc w:val="both"/>
        <w:rPr>
          <w:rFonts w:ascii="Palatino Linotype" w:hAnsi="Palatino Linotype"/>
          <w:i/>
          <w:sz w:val="22"/>
          <w:szCs w:val="22"/>
        </w:rPr>
      </w:pPr>
      <w:r w:rsidRPr="00D54F5D">
        <w:rPr>
          <w:rFonts w:ascii="Palatino Linotype" w:hAnsi="Palatino Linotype" w:cs="Arial"/>
          <w:i/>
          <w:sz w:val="22"/>
          <w:szCs w:val="22"/>
        </w:rPr>
        <w:t>…</w:t>
      </w:r>
    </w:p>
    <w:p w:rsidR="00B32835" w:rsidRPr="00D54F5D" w:rsidRDefault="00B32835" w:rsidP="00B32835">
      <w:pPr>
        <w:spacing w:before="80" w:after="80"/>
        <w:ind w:left="709" w:right="709"/>
        <w:jc w:val="both"/>
        <w:rPr>
          <w:rFonts w:ascii="Palatino Linotype" w:hAnsi="Palatino Linotype"/>
          <w:i/>
          <w:sz w:val="22"/>
          <w:szCs w:val="22"/>
        </w:rPr>
      </w:pPr>
      <w:r w:rsidRPr="00D54F5D">
        <w:rPr>
          <w:rFonts w:ascii="Palatino Linotype" w:hAnsi="Palatino Linotype"/>
          <w:i/>
          <w:sz w:val="22"/>
          <w:szCs w:val="22"/>
        </w:rPr>
        <w:t xml:space="preserve">Los sujetos obligados deberán hacer pública toda aquella información relativa a los montos y las personas a </w:t>
      </w:r>
      <w:r w:rsidRPr="00D54F5D">
        <w:rPr>
          <w:rFonts w:ascii="Palatino Linotype" w:hAnsi="Palatino Linotype" w:cs="Arial"/>
          <w:bCs/>
          <w:i/>
          <w:sz w:val="22"/>
          <w:szCs w:val="22"/>
        </w:rPr>
        <w:t>quienes</w:t>
      </w:r>
      <w:r w:rsidRPr="00D54F5D">
        <w:rPr>
          <w:rFonts w:ascii="Palatino Linotype" w:hAnsi="Palatino Linotype"/>
          <w:i/>
          <w:sz w:val="22"/>
          <w:szCs w:val="22"/>
        </w:rPr>
        <w:t xml:space="preserve"> entreguen, por cualquier motivo, recursos públicos, así como los informes que dichas personas les entreguen sobre el uso y destino de dichos recursos.</w:t>
      </w:r>
    </w:p>
    <w:p w:rsidR="00B32835" w:rsidRPr="00D54F5D" w:rsidRDefault="00B32835" w:rsidP="00B32835">
      <w:pPr>
        <w:spacing w:before="120" w:after="120"/>
        <w:ind w:left="709" w:right="709"/>
        <w:jc w:val="both"/>
        <w:rPr>
          <w:rFonts w:ascii="Palatino Linotype" w:hAnsi="Palatino Linotype" w:cs="Arial"/>
          <w:i/>
          <w:sz w:val="22"/>
          <w:szCs w:val="22"/>
        </w:rPr>
      </w:pPr>
      <w:r w:rsidRPr="00D54F5D">
        <w:rPr>
          <w:rFonts w:ascii="Palatino Linotype" w:hAnsi="Palatino Linotype" w:cs="Arial"/>
          <w:b/>
          <w:i/>
          <w:sz w:val="22"/>
          <w:szCs w:val="22"/>
        </w:rPr>
        <w:t>Los servidores públicos deberán transparentar sus acciones así como garantizar y respetar el derecho de acceso a la información pública</w:t>
      </w:r>
      <w:r w:rsidRPr="00D54F5D">
        <w:rPr>
          <w:rFonts w:ascii="Palatino Linotype" w:hAnsi="Palatino Linotype" w:cs="Arial"/>
          <w:i/>
          <w:sz w:val="22"/>
          <w:szCs w:val="22"/>
        </w:rPr>
        <w:t>.”</w:t>
      </w:r>
    </w:p>
    <w:p w:rsidR="00B32835" w:rsidRPr="00D54F5D" w:rsidRDefault="00B32835" w:rsidP="00B32835">
      <w:pPr>
        <w:spacing w:before="120" w:after="120"/>
        <w:ind w:left="709" w:right="709"/>
        <w:jc w:val="both"/>
        <w:rPr>
          <w:rFonts w:ascii="Palatino Linotype" w:hAnsi="Palatino Linotype" w:cs="Arial"/>
          <w:sz w:val="22"/>
        </w:rPr>
      </w:pPr>
      <w:r w:rsidRPr="00D54F5D">
        <w:rPr>
          <w:rFonts w:ascii="Palatino Linotype" w:hAnsi="Palatino Linotype" w:cs="Arial"/>
          <w:sz w:val="22"/>
        </w:rPr>
        <w:t>(Énfasis añadido)</w:t>
      </w:r>
    </w:p>
    <w:p w:rsidR="00B32835" w:rsidRPr="00D54F5D" w:rsidRDefault="00B32835" w:rsidP="00B328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D54F5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r w:rsidRPr="00D54F5D">
        <w:rPr>
          <w:rFonts w:ascii="Palatino Linotype" w:hAnsi="Palatino Linotype" w:cs="Arial"/>
          <w:lang w:val="es-ES"/>
        </w:rPr>
        <w:t xml:space="preserve">de ahí que la Ley de la materia delimita perfectamente los alcances de las obligaciones que corresponden a los Ayuntamientos; por lo que, en ese tenor </w:t>
      </w:r>
      <w:r w:rsidRPr="00D54F5D">
        <w:rPr>
          <w:rFonts w:ascii="Palatino Linotype" w:eastAsia="Arial Unicode MS" w:hAnsi="Palatino Linotype" w:cs="Arial"/>
          <w:color w:val="000000"/>
          <w:lang w:val="es-ES"/>
        </w:rPr>
        <w:t xml:space="preserve">es necesario referir el contenido del artículo </w:t>
      </w:r>
      <w:r w:rsidRPr="00D54F5D">
        <w:rPr>
          <w:rFonts w:ascii="Palatino Linotype" w:hAnsi="Palatino Linotype"/>
          <w:lang w:val="es-ES"/>
        </w:rPr>
        <w:t>115,</w:t>
      </w:r>
      <w:r w:rsidRPr="00D54F5D">
        <w:rPr>
          <w:rFonts w:ascii="Palatino Linotype" w:eastAsia="Arial Unicode MS" w:hAnsi="Palatino Linotype" w:cs="Arial"/>
          <w:color w:val="000000"/>
          <w:lang w:val="es-ES"/>
        </w:rPr>
        <w:t xml:space="preserve"> fracciones I, II y IV de la Constitución Política de los Estados Unidos Mexicanos, que en lo que interesa menciona:</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Cs/>
          <w:i/>
          <w:color w:val="000000"/>
          <w:sz w:val="22"/>
          <w:szCs w:val="22"/>
        </w:rPr>
        <w:t>“</w:t>
      </w:r>
      <w:r w:rsidRPr="00D54F5D">
        <w:rPr>
          <w:rFonts w:ascii="Palatino Linotype" w:hAnsi="Palatino Linotype" w:cs="Arial"/>
          <w:b/>
          <w:bCs/>
          <w:i/>
          <w:color w:val="000000"/>
          <w:sz w:val="22"/>
          <w:szCs w:val="22"/>
        </w:rPr>
        <w:t>Artículo 115</w:t>
      </w:r>
      <w:r w:rsidRPr="00D54F5D">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
          <w:bCs/>
          <w:i/>
          <w:color w:val="000000"/>
          <w:sz w:val="22"/>
          <w:szCs w:val="22"/>
        </w:rPr>
        <w:lastRenderedPageBreak/>
        <w:t>I.</w:t>
      </w:r>
      <w:r w:rsidRPr="00D54F5D">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Cs/>
          <w:i/>
          <w:color w:val="000000"/>
          <w:sz w:val="22"/>
          <w:szCs w:val="22"/>
        </w:rPr>
        <w:t>(…)</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
          <w:bCs/>
          <w:i/>
          <w:color w:val="000000"/>
          <w:sz w:val="22"/>
          <w:szCs w:val="22"/>
        </w:rPr>
        <w:t>II.</w:t>
      </w:r>
      <w:r w:rsidRPr="00D54F5D">
        <w:rPr>
          <w:rFonts w:ascii="Palatino Linotype" w:hAnsi="Palatino Linotype" w:cs="Arial"/>
          <w:bCs/>
          <w:i/>
          <w:color w:val="000000"/>
          <w:sz w:val="22"/>
          <w:szCs w:val="22"/>
        </w:rPr>
        <w:t xml:space="preserve"> Los municipios estarán investidos de personalidad jurídica y manejarán su patrimonio conforme a la ley.</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Cs/>
          <w:i/>
          <w:color w:val="000000"/>
          <w:sz w:val="22"/>
          <w:szCs w:val="22"/>
        </w:rPr>
        <w:t>(…)</w:t>
      </w:r>
    </w:p>
    <w:p w:rsidR="00B32835" w:rsidRPr="00D54F5D" w:rsidRDefault="00B32835" w:rsidP="00B32835">
      <w:pPr>
        <w:ind w:left="851" w:right="992"/>
        <w:jc w:val="both"/>
        <w:rPr>
          <w:rFonts w:ascii="Palatino Linotype" w:hAnsi="Palatino Linotype" w:cs="Arial"/>
          <w:b/>
          <w:bCs/>
          <w:i/>
          <w:color w:val="000000"/>
          <w:sz w:val="22"/>
          <w:szCs w:val="22"/>
        </w:rPr>
      </w:pPr>
      <w:r w:rsidRPr="00D54F5D">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Cs/>
          <w:i/>
          <w:color w:val="000000"/>
          <w:sz w:val="22"/>
          <w:szCs w:val="22"/>
        </w:rPr>
        <w:t>(…)”</w:t>
      </w:r>
    </w:p>
    <w:p w:rsidR="00B32835" w:rsidRPr="00D54F5D" w:rsidRDefault="00B32835" w:rsidP="00B32835">
      <w:pPr>
        <w:ind w:left="851" w:right="992"/>
        <w:jc w:val="both"/>
        <w:rPr>
          <w:rFonts w:ascii="Palatino Linotype" w:hAnsi="Palatino Linotype" w:cs="Arial"/>
          <w:bCs/>
          <w:i/>
          <w:color w:val="000000"/>
          <w:sz w:val="22"/>
          <w:szCs w:val="22"/>
        </w:rPr>
      </w:pPr>
      <w:r w:rsidRPr="00D54F5D">
        <w:rPr>
          <w:rFonts w:ascii="Palatino Linotype" w:hAnsi="Palatino Linotype" w:cs="Arial"/>
          <w:bCs/>
          <w:i/>
          <w:color w:val="000000"/>
          <w:sz w:val="22"/>
          <w:szCs w:val="22"/>
        </w:rPr>
        <w:t>(Énfasis añadido)</w:t>
      </w:r>
    </w:p>
    <w:p w:rsidR="00B32835" w:rsidRPr="00D54F5D" w:rsidRDefault="00B32835" w:rsidP="00B32835">
      <w:pPr>
        <w:spacing w:before="100" w:beforeAutospacing="1" w:after="100" w:afterAutospacing="1" w:line="360" w:lineRule="auto"/>
        <w:jc w:val="both"/>
        <w:rPr>
          <w:rFonts w:ascii="Palatino Linotype" w:eastAsia="Arial Unicode MS" w:hAnsi="Palatino Linotype" w:cs="Arial"/>
          <w:color w:val="000000"/>
        </w:rPr>
      </w:pPr>
      <w:r w:rsidRPr="00D54F5D">
        <w:rPr>
          <w:rFonts w:ascii="Palatino Linotype" w:eastAsia="Arial Unicode MS" w:hAnsi="Palatino Linotype" w:cs="Arial"/>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026A84" w:rsidRDefault="00026A84" w:rsidP="00026A84">
      <w:pPr>
        <w:spacing w:before="100" w:beforeAutospacing="1" w:after="100" w:afterAutospacing="1" w:line="360" w:lineRule="auto"/>
        <w:jc w:val="both"/>
        <w:rPr>
          <w:rFonts w:ascii="Palatino Linotype" w:hAnsi="Palatino Linotype" w:cs="Arial"/>
          <w:color w:val="000000"/>
        </w:rPr>
      </w:pPr>
      <w:r>
        <w:rPr>
          <w:rFonts w:ascii="Palatino Linotype" w:hAnsi="Palatino Linotype" w:cs="Arial"/>
          <w:noProof/>
          <w:color w:val="000000"/>
          <w:lang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1171574</wp:posOffset>
                </wp:positionV>
                <wp:extent cx="5734050" cy="14573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73405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5546E"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92.25pt" to="45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" strokecolor="#5b9bd5 [3204]" strokeweight=".5pt">
                <v:stroke joinstyle="miter"/>
              </v:line>
            </w:pict>
          </mc:Fallback>
        </mc:AlternateContent>
      </w:r>
      <w:r w:rsidR="00B32835" w:rsidRPr="00D54F5D">
        <w:rPr>
          <w:rFonts w:ascii="Palatino Linotype" w:hAnsi="Palatino Linotype" w:cs="Arial"/>
          <w:color w:val="000000"/>
        </w:rPr>
        <w:t>Asimismo, en el numeral 3</w:t>
      </w:r>
      <w:r w:rsidR="00B32835" w:rsidRPr="00D54F5D">
        <w:rPr>
          <w:rStyle w:val="Refdenotaalpie"/>
          <w:rFonts w:ascii="Palatino Linotype" w:hAnsi="Palatino Linotype" w:cs="Arial"/>
          <w:color w:val="000000"/>
        </w:rPr>
        <w:footnoteReference w:id="1"/>
      </w:r>
      <w:r w:rsidR="00B32835" w:rsidRPr="00D54F5D">
        <w:rPr>
          <w:rFonts w:ascii="Palatino Linotype" w:hAnsi="Palatino Linotype" w:cs="Arial"/>
          <w:color w:val="000000"/>
        </w:rPr>
        <w:t xml:space="preserve"> de la Ley Orgánica Municipal del Estado de México, establece que los Municipios de la Entidad regularán su funcionamiento de conformidad con lo que establece la misma Ley, los Bandos Municipales, Reglamentos y demás disposiciones legales aplicables.</w:t>
      </w:r>
    </w:p>
    <w:p w:rsidR="00B32835" w:rsidRPr="00026A84" w:rsidRDefault="00B32835" w:rsidP="00026A84">
      <w:pPr>
        <w:spacing w:before="100" w:beforeAutospacing="1" w:after="100" w:afterAutospacing="1" w:line="360" w:lineRule="auto"/>
        <w:jc w:val="both"/>
        <w:rPr>
          <w:rFonts w:ascii="Palatino Linotype" w:hAnsi="Palatino Linotype" w:cs="Arial"/>
          <w:color w:val="000000"/>
        </w:rPr>
      </w:pPr>
      <w:r w:rsidRPr="00D54F5D">
        <w:rPr>
          <w:rFonts w:ascii="Palatino Linotype" w:hAnsi="Palatino Linotype" w:cs="Arial"/>
          <w:color w:val="000000"/>
        </w:rPr>
        <w:lastRenderedPageBreak/>
        <w:t xml:space="preserve">Por otro lado, resulta importante traer a colación el contenido de los artículos 4 y 12 de la </w:t>
      </w:r>
      <w:r w:rsidRPr="00D54F5D">
        <w:rPr>
          <w:rFonts w:ascii="Palatino Linotype" w:hAnsi="Palatino Linotype" w:cs="Arial"/>
        </w:rPr>
        <w:t>Ley de Transparencia y Acceso a la Información Pública del Estado de México y Municipios, mismos que son del tenor siguiente:</w:t>
      </w: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i/>
          <w:sz w:val="22"/>
          <w:szCs w:val="22"/>
        </w:rPr>
        <w:t>“</w:t>
      </w:r>
      <w:r w:rsidRPr="00D54F5D">
        <w:rPr>
          <w:rFonts w:ascii="Palatino Linotype" w:hAnsi="Palatino Linotype" w:cs="Arial"/>
          <w:b/>
          <w:i/>
          <w:sz w:val="22"/>
          <w:szCs w:val="22"/>
        </w:rPr>
        <w:t>Artículo 4.</w:t>
      </w:r>
      <w:r w:rsidRPr="00D54F5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32835" w:rsidRPr="00D54F5D" w:rsidRDefault="00B32835" w:rsidP="00B32835">
      <w:pPr>
        <w:ind w:left="851" w:right="902"/>
        <w:jc w:val="both"/>
        <w:rPr>
          <w:rFonts w:ascii="Palatino Linotype" w:hAnsi="Palatino Linotype" w:cs="Arial"/>
          <w:i/>
          <w:sz w:val="22"/>
          <w:szCs w:val="22"/>
        </w:rPr>
      </w:pP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D54F5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32835" w:rsidRPr="00D54F5D" w:rsidRDefault="00B32835" w:rsidP="00B32835">
      <w:pPr>
        <w:ind w:left="851" w:right="902"/>
        <w:jc w:val="both"/>
        <w:rPr>
          <w:rFonts w:ascii="Palatino Linotype" w:hAnsi="Palatino Linotype" w:cs="Arial"/>
          <w:i/>
          <w:sz w:val="22"/>
          <w:szCs w:val="22"/>
        </w:rPr>
      </w:pP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B32835" w:rsidRPr="00D54F5D" w:rsidRDefault="00B32835" w:rsidP="00B32835">
      <w:pPr>
        <w:ind w:left="851" w:right="902"/>
        <w:jc w:val="both"/>
        <w:rPr>
          <w:rFonts w:ascii="Palatino Linotype" w:hAnsi="Palatino Linotype" w:cs="Arial"/>
          <w:i/>
          <w:szCs w:val="22"/>
        </w:rPr>
      </w:pP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b/>
          <w:i/>
          <w:sz w:val="22"/>
          <w:szCs w:val="22"/>
        </w:rPr>
        <w:t>Artículo 12.</w:t>
      </w:r>
      <w:r w:rsidRPr="00D54F5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B32835" w:rsidRPr="00D54F5D" w:rsidRDefault="00B32835" w:rsidP="00B32835">
      <w:pPr>
        <w:ind w:left="851" w:right="902"/>
        <w:jc w:val="both"/>
        <w:rPr>
          <w:rFonts w:ascii="Palatino Linotype" w:hAnsi="Palatino Linotype" w:cs="Arial"/>
          <w:i/>
          <w:sz w:val="22"/>
          <w:szCs w:val="22"/>
        </w:rPr>
      </w:pP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D54F5D">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B32835" w:rsidRPr="00D54F5D" w:rsidRDefault="00B32835" w:rsidP="00B32835">
      <w:pPr>
        <w:ind w:left="851" w:right="902"/>
        <w:jc w:val="both"/>
        <w:rPr>
          <w:rFonts w:ascii="Palatino Linotype" w:hAnsi="Palatino Linotype" w:cs="Arial"/>
          <w:i/>
          <w:sz w:val="22"/>
          <w:szCs w:val="22"/>
        </w:rPr>
      </w:pPr>
    </w:p>
    <w:p w:rsidR="00B32835" w:rsidRPr="00D54F5D" w:rsidRDefault="00B32835" w:rsidP="00B32835">
      <w:pPr>
        <w:ind w:left="851" w:right="902"/>
        <w:jc w:val="both"/>
        <w:rPr>
          <w:rFonts w:ascii="Palatino Linotype" w:hAnsi="Palatino Linotype" w:cs="Arial"/>
          <w:i/>
          <w:sz w:val="22"/>
          <w:szCs w:val="22"/>
        </w:rPr>
      </w:pPr>
      <w:r w:rsidRPr="00D54F5D">
        <w:rPr>
          <w:rFonts w:ascii="Palatino Linotype" w:hAnsi="Palatino Linotype" w:cs="Arial"/>
          <w:i/>
          <w:sz w:val="22"/>
          <w:szCs w:val="22"/>
        </w:rPr>
        <w:t>(Énfasis añadido)</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Por consiguiente, los preceptos legales transcritos establecen que </w:t>
      </w:r>
      <w:r w:rsidRPr="00D54F5D">
        <w:rPr>
          <w:rFonts w:ascii="Palatino Linotype" w:hAnsi="Palatino Linotype" w:cs="Arial"/>
          <w:b/>
        </w:rPr>
        <w:t>los Sujetos Obligados se encuentran constreñidos a entregar la información pública solicitada por los particulares</w:t>
      </w:r>
      <w:r w:rsidRPr="00D54F5D">
        <w:rPr>
          <w:rFonts w:ascii="Palatino Linotype" w:hAnsi="Palatino Linotype" w:cs="Arial"/>
        </w:rPr>
        <w:t xml:space="preserve"> y que ésta misma se encuentre en sus archivos o que obre en su posesión, </w:t>
      </w:r>
      <w:r w:rsidRPr="00D54F5D">
        <w:rPr>
          <w:rFonts w:ascii="Palatino Linotype" w:hAnsi="Palatino Linotype" w:cs="Arial"/>
          <w:b/>
        </w:rPr>
        <w:lastRenderedPageBreak/>
        <w:t>privilegiando en todo momento el principio de máxima publicidad,</w:t>
      </w:r>
      <w:r w:rsidRPr="00D54F5D">
        <w:rPr>
          <w:rFonts w:ascii="Palatino Linotype" w:hAnsi="Palatino Linotype" w:cs="Arial"/>
        </w:rPr>
        <w:t xml:space="preserve"> sin generarla, procesarla, resumirla, ni presentarla conforme al interés del solicitante. </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Queda de manifiesto entonces que, </w:t>
      </w:r>
      <w:r w:rsidRPr="00D54F5D">
        <w:rPr>
          <w:rFonts w:ascii="Palatino Linotype" w:hAnsi="Palatino Linotype" w:cs="Arial"/>
          <w:b/>
        </w:rPr>
        <w:t>se considera información pública al conjunto de datos que posee cualquier autoridad, obtenidos en virtud del ejercicio de sus funciones de derecho público</w:t>
      </w:r>
      <w:r w:rsidRPr="00D54F5D">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B32835" w:rsidRPr="00D54F5D" w:rsidRDefault="00B32835" w:rsidP="00B32835">
      <w:pPr>
        <w:ind w:left="851" w:right="901"/>
        <w:jc w:val="both"/>
        <w:rPr>
          <w:rFonts w:ascii="Palatino Linotype" w:hAnsi="Palatino Linotype" w:cs="Arial"/>
          <w:i/>
          <w:sz w:val="22"/>
          <w:szCs w:val="22"/>
        </w:rPr>
      </w:pPr>
      <w:r w:rsidRPr="00D54F5D">
        <w:rPr>
          <w:rFonts w:ascii="Palatino Linotype" w:hAnsi="Palatino Linotype" w:cs="Arial"/>
          <w:bCs/>
          <w:i/>
          <w:sz w:val="22"/>
          <w:szCs w:val="22"/>
        </w:rPr>
        <w:t>“</w:t>
      </w:r>
      <w:r w:rsidRPr="00D54F5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D54F5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B32835" w:rsidRPr="00D54F5D" w:rsidRDefault="00B32835" w:rsidP="00B32835">
      <w:pPr>
        <w:spacing w:before="100" w:beforeAutospacing="1" w:after="100" w:afterAutospacing="1" w:line="360" w:lineRule="auto"/>
        <w:jc w:val="both"/>
        <w:rPr>
          <w:rFonts w:ascii="Palatino Linotype" w:hAnsi="Palatino Linotype" w:cs="Arial"/>
          <w:color w:val="000000" w:themeColor="text1"/>
        </w:rPr>
      </w:pPr>
      <w:r w:rsidRPr="00D54F5D">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D54F5D">
        <w:rPr>
          <w:rFonts w:ascii="Palatino Linotype" w:hAnsi="Palatino Linotype" w:cs="Arial"/>
        </w:rPr>
        <w:t>generen</w:t>
      </w:r>
      <w:r w:rsidRPr="00D54F5D">
        <w:rPr>
          <w:rFonts w:ascii="Palatino Linotype" w:hAnsi="Palatino Linotype" w:cs="Arial"/>
          <w:color w:val="000000" w:themeColor="text1"/>
        </w:rPr>
        <w:t xml:space="preserve">, administren o posean en el ejercicio de sus atribuciones; por consiguiente, la información pública se encuentra a disposición </w:t>
      </w:r>
      <w:r w:rsidRPr="00D54F5D">
        <w:rPr>
          <w:rFonts w:ascii="Palatino Linotype" w:hAnsi="Palatino Linotype" w:cs="Arial"/>
          <w:color w:val="000000" w:themeColor="text1"/>
        </w:rPr>
        <w:lastRenderedPageBreak/>
        <w:t>de cualquier persona, lo que implica que es deber de los Sujetos Obligados, garantizar a toda persona el derecho de acceso a la información pública.</w:t>
      </w:r>
    </w:p>
    <w:p w:rsidR="00B32835" w:rsidRPr="00D54F5D" w:rsidRDefault="00B32835" w:rsidP="00B32835">
      <w:pPr>
        <w:spacing w:before="100" w:beforeAutospacing="1" w:after="100" w:afterAutospacing="1" w:line="360" w:lineRule="auto"/>
        <w:jc w:val="both"/>
        <w:rPr>
          <w:rFonts w:ascii="Palatino Linotype" w:hAnsi="Palatino Linotype" w:cs="Arial"/>
          <w:color w:val="000000" w:themeColor="text1"/>
        </w:rPr>
      </w:pPr>
      <w:r w:rsidRPr="00D54F5D">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D54F5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54F5D">
        <w:rPr>
          <w:rFonts w:ascii="Palatino Linotype" w:hAnsi="Palatino Linotype" w:cs="Arial"/>
          <w:color w:val="000000" w:themeColor="text1"/>
        </w:rPr>
        <w:t xml:space="preserve">; los que </w:t>
      </w:r>
      <w:r w:rsidRPr="00D54F5D">
        <w:rPr>
          <w:rFonts w:ascii="Palatino Linotype" w:hAnsi="Palatino Linotype" w:cs="Arial"/>
        </w:rPr>
        <w:t>podrán estar en cualquier medio, sea escrito, impreso, sonoro, visual, electrónico, informático u holográfico</w:t>
      </w:r>
      <w:r w:rsidRPr="00D54F5D">
        <w:rPr>
          <w:rFonts w:ascii="Palatino Linotype" w:hAnsi="Palatino Linotype" w:cs="Arial"/>
          <w:color w:val="000000" w:themeColor="text1"/>
        </w:rPr>
        <w:t xml:space="preserve">, de conformidad con el artículo 3, fracción XI de la Ley de la materia, el cual dispone lo siguiente: </w:t>
      </w:r>
    </w:p>
    <w:p w:rsidR="00B32835" w:rsidRPr="00D54F5D" w:rsidRDefault="00B32835" w:rsidP="00B32835">
      <w:pPr>
        <w:ind w:left="851" w:right="901"/>
        <w:jc w:val="both"/>
        <w:rPr>
          <w:rFonts w:ascii="Palatino Linotype" w:hAnsi="Palatino Linotype" w:cs="Arial"/>
          <w:i/>
          <w:color w:val="000000"/>
          <w:sz w:val="22"/>
          <w:szCs w:val="22"/>
        </w:rPr>
      </w:pPr>
      <w:r w:rsidRPr="00D54F5D">
        <w:rPr>
          <w:rFonts w:ascii="Palatino Linotype" w:hAnsi="Palatino Linotype" w:cs="Arial"/>
          <w:i/>
          <w:color w:val="000000"/>
          <w:sz w:val="22"/>
          <w:szCs w:val="22"/>
        </w:rPr>
        <w:t>“</w:t>
      </w:r>
      <w:r w:rsidRPr="00D54F5D">
        <w:rPr>
          <w:rFonts w:ascii="Palatino Linotype" w:hAnsi="Palatino Linotype" w:cs="Arial"/>
          <w:b/>
          <w:i/>
          <w:color w:val="000000"/>
          <w:sz w:val="22"/>
          <w:szCs w:val="22"/>
        </w:rPr>
        <w:t xml:space="preserve">Artículo 3. </w:t>
      </w:r>
      <w:r w:rsidRPr="00D54F5D">
        <w:rPr>
          <w:rFonts w:ascii="Palatino Linotype" w:hAnsi="Palatino Linotype" w:cs="Arial"/>
          <w:i/>
          <w:color w:val="000000"/>
          <w:sz w:val="22"/>
          <w:szCs w:val="22"/>
        </w:rPr>
        <w:t>Para los efectos de la presente Ley se entenderá por:</w:t>
      </w:r>
    </w:p>
    <w:p w:rsidR="00B32835" w:rsidRPr="00D54F5D" w:rsidRDefault="00B32835" w:rsidP="00B32835">
      <w:pPr>
        <w:ind w:left="851" w:right="901"/>
        <w:jc w:val="both"/>
        <w:rPr>
          <w:rFonts w:ascii="Palatino Linotype" w:hAnsi="Palatino Linotype" w:cs="Arial"/>
          <w:i/>
          <w:color w:val="000000"/>
          <w:sz w:val="22"/>
          <w:szCs w:val="22"/>
        </w:rPr>
      </w:pPr>
      <w:r w:rsidRPr="00D54F5D">
        <w:rPr>
          <w:rFonts w:ascii="Palatino Linotype" w:hAnsi="Palatino Linotype" w:cs="Arial"/>
          <w:b/>
          <w:i/>
          <w:color w:val="000000"/>
          <w:sz w:val="22"/>
          <w:szCs w:val="22"/>
        </w:rPr>
        <w:t>XI. Documento:</w:t>
      </w:r>
      <w:r w:rsidRPr="00D54F5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32835" w:rsidRPr="00D54F5D" w:rsidRDefault="00B32835" w:rsidP="00B32835">
      <w:pPr>
        <w:autoSpaceDE w:val="0"/>
        <w:autoSpaceDN w:val="0"/>
        <w:adjustRightInd w:val="0"/>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Siendo aplicable el criterio </w:t>
      </w:r>
      <w:r w:rsidRPr="00D54F5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54F5D">
        <w:rPr>
          <w:rFonts w:ascii="Palatino Linotype" w:hAnsi="Palatino Linotype" w:cs="Arial"/>
        </w:rPr>
        <w:t>cuyo rubro y texto dispone:</w:t>
      </w:r>
    </w:p>
    <w:p w:rsidR="00B32835" w:rsidRPr="00D54F5D" w:rsidRDefault="00B32835" w:rsidP="00B32835">
      <w:pPr>
        <w:ind w:left="851" w:right="901"/>
        <w:jc w:val="center"/>
        <w:rPr>
          <w:rFonts w:ascii="Palatino Linotype" w:hAnsi="Palatino Linotype" w:cs="Arial"/>
          <w:b/>
          <w:i/>
          <w:sz w:val="22"/>
          <w:szCs w:val="22"/>
          <w:lang w:eastAsia="es-MX"/>
        </w:rPr>
      </w:pPr>
      <w:r w:rsidRPr="00D54F5D">
        <w:rPr>
          <w:rFonts w:ascii="Palatino Linotype" w:hAnsi="Palatino Linotype" w:cs="Arial"/>
          <w:sz w:val="22"/>
          <w:szCs w:val="22"/>
          <w:lang w:eastAsia="es-MX"/>
        </w:rPr>
        <w:t>“</w:t>
      </w:r>
      <w:r w:rsidRPr="00D54F5D">
        <w:rPr>
          <w:rFonts w:ascii="Palatino Linotype" w:hAnsi="Palatino Linotype" w:cs="Arial"/>
          <w:b/>
          <w:i/>
          <w:sz w:val="22"/>
          <w:szCs w:val="22"/>
          <w:lang w:eastAsia="es-MX"/>
        </w:rPr>
        <w:t>CRITERIO 0002-11</w:t>
      </w:r>
    </w:p>
    <w:p w:rsidR="00B32835" w:rsidRPr="00D54F5D" w:rsidRDefault="00B32835" w:rsidP="00B32835">
      <w:pPr>
        <w:ind w:left="851" w:right="901"/>
        <w:jc w:val="both"/>
        <w:rPr>
          <w:rFonts w:ascii="Palatino Linotype" w:hAnsi="Palatino Linotype" w:cs="Arial"/>
          <w:i/>
          <w:sz w:val="22"/>
          <w:szCs w:val="22"/>
          <w:lang w:eastAsia="es-MX"/>
        </w:rPr>
      </w:pPr>
      <w:r w:rsidRPr="00D54F5D">
        <w:rPr>
          <w:rFonts w:ascii="Palatino Linotype" w:hAnsi="Palatino Linotype" w:cs="Arial"/>
          <w:b/>
          <w:i/>
          <w:sz w:val="22"/>
          <w:szCs w:val="22"/>
          <w:lang w:eastAsia="es-MX"/>
        </w:rPr>
        <w:t xml:space="preserve">INFORMACIÓN PÚBLICA, CONCEPTO DE, EN MATERIA DE TRANSPARENCIA. INTERPRETACIÓN SISTEMÁTICA DE LOS </w:t>
      </w:r>
      <w:r w:rsidRPr="00D54F5D">
        <w:rPr>
          <w:rFonts w:ascii="Palatino Linotype" w:hAnsi="Palatino Linotype" w:cs="Arial"/>
          <w:b/>
          <w:i/>
          <w:sz w:val="22"/>
          <w:szCs w:val="22"/>
          <w:lang w:eastAsia="es-MX"/>
        </w:rPr>
        <w:lastRenderedPageBreak/>
        <w:t xml:space="preserve">ARTÍCULOS 2°, FRACCIÓN </w:t>
      </w:r>
      <w:r w:rsidRPr="00D54F5D">
        <w:rPr>
          <w:rFonts w:ascii="Palatino Linotype" w:hAnsi="Palatino Linotype" w:cs="Arial"/>
          <w:b/>
          <w:bCs/>
          <w:i/>
          <w:sz w:val="22"/>
          <w:szCs w:val="22"/>
          <w:lang w:eastAsia="es-MX"/>
        </w:rPr>
        <w:t xml:space="preserve">V, XV, Y XVI, </w:t>
      </w:r>
      <w:r w:rsidRPr="00D54F5D">
        <w:rPr>
          <w:rFonts w:ascii="Palatino Linotype" w:hAnsi="Palatino Linotype" w:cs="Arial"/>
          <w:b/>
          <w:i/>
          <w:sz w:val="22"/>
          <w:szCs w:val="22"/>
          <w:lang w:eastAsia="es-MX"/>
        </w:rPr>
        <w:t>3°, 4°, 11 Y 41.</w:t>
      </w:r>
      <w:r w:rsidRPr="00D54F5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32835" w:rsidRPr="00D54F5D" w:rsidRDefault="00B32835" w:rsidP="00B32835">
      <w:pPr>
        <w:ind w:left="851" w:right="901"/>
        <w:jc w:val="both"/>
        <w:rPr>
          <w:rFonts w:ascii="Palatino Linotype" w:hAnsi="Palatino Linotype" w:cs="Arial"/>
          <w:i/>
          <w:sz w:val="22"/>
          <w:szCs w:val="22"/>
          <w:lang w:eastAsia="es-MX"/>
        </w:rPr>
      </w:pPr>
      <w:r w:rsidRPr="00D54F5D">
        <w:rPr>
          <w:rFonts w:ascii="Palatino Linotype" w:hAnsi="Palatino Linotype" w:cs="Arial"/>
          <w:i/>
          <w:sz w:val="22"/>
          <w:szCs w:val="22"/>
          <w:lang w:eastAsia="es-MX"/>
        </w:rPr>
        <w:t>En consecuencia el acceso a la información se refiere a que se cumplan cualquiera de los siguientes tres supuestos:</w:t>
      </w:r>
    </w:p>
    <w:p w:rsidR="00B32835" w:rsidRPr="00D54F5D" w:rsidRDefault="00B32835" w:rsidP="00B32835">
      <w:pPr>
        <w:ind w:left="851" w:right="901"/>
        <w:jc w:val="both"/>
        <w:rPr>
          <w:rFonts w:ascii="Palatino Linotype" w:hAnsi="Palatino Linotype" w:cs="Arial"/>
          <w:b/>
          <w:i/>
          <w:sz w:val="22"/>
          <w:szCs w:val="22"/>
          <w:lang w:eastAsia="es-MX"/>
        </w:rPr>
      </w:pPr>
      <w:r w:rsidRPr="00D54F5D">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B32835" w:rsidRPr="00D54F5D" w:rsidRDefault="00B32835" w:rsidP="00B32835">
      <w:pPr>
        <w:ind w:left="851" w:right="901"/>
        <w:jc w:val="both"/>
        <w:rPr>
          <w:rFonts w:ascii="Palatino Linotype" w:hAnsi="Palatino Linotype" w:cs="Arial"/>
          <w:i/>
          <w:sz w:val="22"/>
          <w:szCs w:val="22"/>
          <w:lang w:eastAsia="es-MX"/>
        </w:rPr>
      </w:pPr>
      <w:r w:rsidRPr="00D54F5D">
        <w:rPr>
          <w:rFonts w:ascii="Palatino Linotype" w:hAnsi="Palatino Linotype" w:cs="Arial"/>
          <w:i/>
          <w:sz w:val="22"/>
          <w:szCs w:val="22"/>
          <w:lang w:eastAsia="es-MX"/>
        </w:rPr>
        <w:t xml:space="preserve">2) Que se trate de </w:t>
      </w:r>
      <w:r w:rsidRPr="00D54F5D">
        <w:rPr>
          <w:rFonts w:ascii="Palatino Linotype" w:hAnsi="Palatino Linotype" w:cs="Arial"/>
          <w:b/>
          <w:i/>
          <w:sz w:val="22"/>
          <w:szCs w:val="22"/>
          <w:lang w:eastAsia="es-MX"/>
        </w:rPr>
        <w:t>información</w:t>
      </w:r>
      <w:r w:rsidRPr="00D54F5D">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B32835" w:rsidRPr="00D54F5D" w:rsidRDefault="00B32835" w:rsidP="00B32835">
      <w:pPr>
        <w:ind w:left="851" w:right="901"/>
        <w:jc w:val="both"/>
        <w:rPr>
          <w:rFonts w:ascii="Palatino Linotype" w:hAnsi="Palatino Linotype" w:cs="Arial"/>
          <w:i/>
          <w:sz w:val="22"/>
          <w:szCs w:val="22"/>
          <w:lang w:eastAsia="es-MX"/>
        </w:rPr>
      </w:pPr>
      <w:r w:rsidRPr="00D54F5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B32835" w:rsidRPr="00D54F5D" w:rsidRDefault="00B32835" w:rsidP="00B32835">
      <w:pPr>
        <w:ind w:left="851" w:right="901"/>
        <w:jc w:val="both"/>
        <w:rPr>
          <w:rFonts w:ascii="Palatino Linotype" w:hAnsi="Palatino Linotype" w:cs="Arial"/>
          <w:sz w:val="22"/>
          <w:szCs w:val="22"/>
          <w:lang w:eastAsia="es-MX"/>
        </w:rPr>
      </w:pPr>
      <w:r w:rsidRPr="00D54F5D">
        <w:rPr>
          <w:rFonts w:ascii="Palatino Linotype" w:hAnsi="Palatino Linotype" w:cs="Arial"/>
          <w:sz w:val="22"/>
          <w:szCs w:val="22"/>
          <w:lang w:eastAsia="es-MX"/>
        </w:rPr>
        <w:t>(Énfasis Añadido)</w:t>
      </w:r>
    </w:p>
    <w:p w:rsidR="00B32835" w:rsidRPr="00D54F5D" w:rsidRDefault="00B32835" w:rsidP="00B32835">
      <w:pPr>
        <w:pStyle w:val="paragraph"/>
        <w:spacing w:line="360" w:lineRule="auto"/>
        <w:jc w:val="both"/>
        <w:textAlignment w:val="baseline"/>
        <w:rPr>
          <w:rFonts w:ascii="Palatino Linotype" w:eastAsia="Calibri" w:hAnsi="Palatino Linotype" w:cs="Arial"/>
          <w:sz w:val="24"/>
          <w:szCs w:val="24"/>
        </w:rPr>
      </w:pPr>
      <w:r w:rsidRPr="00D54F5D">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D54F5D">
        <w:rPr>
          <w:rFonts w:ascii="Palatino Linotype" w:eastAsia="Calibri" w:hAnsi="Palatino Linotype" w:cs="Arial"/>
          <w:sz w:val="24"/>
          <w:szCs w:val="24"/>
        </w:rPr>
        <w:t xml:space="preserve">la información </w:t>
      </w:r>
      <w:r w:rsidRPr="00D54F5D">
        <w:rPr>
          <w:rFonts w:ascii="Palatino Linotype" w:hAnsi="Palatino Linotype"/>
          <w:sz w:val="24"/>
          <w:szCs w:val="24"/>
        </w:rPr>
        <w:t>en el ejercicio de su</w:t>
      </w:r>
      <w:r w:rsidRPr="00D54F5D">
        <w:rPr>
          <w:rFonts w:ascii="Palatino Linotype" w:hAnsi="Palatino Linotype" w:cs="Arial"/>
          <w:color w:val="000000" w:themeColor="text1"/>
          <w:sz w:val="24"/>
          <w:szCs w:val="24"/>
        </w:rPr>
        <w:t>s atribuciones</w:t>
      </w:r>
      <w:r w:rsidRPr="00D54F5D">
        <w:rPr>
          <w:rFonts w:ascii="Palatino Linotype" w:eastAsia="Calibri" w:hAnsi="Palatino Linotype" w:cs="Arial"/>
          <w:sz w:val="24"/>
          <w:szCs w:val="24"/>
        </w:rPr>
        <w:t xml:space="preserve"> </w:t>
      </w:r>
      <w:r w:rsidRPr="00D54F5D">
        <w:rPr>
          <w:rFonts w:ascii="Palatino Linotype" w:eastAsia="Arial Unicode MS" w:hAnsi="Palatino Linotype" w:cs="Arial"/>
          <w:b/>
          <w:sz w:val="24"/>
          <w:szCs w:val="24"/>
        </w:rPr>
        <w:t>EL SUJETO OBLIGADO</w:t>
      </w:r>
      <w:r w:rsidRPr="00D54F5D">
        <w:rPr>
          <w:rFonts w:ascii="Palatino Linotype" w:eastAsia="Arial Unicode MS" w:hAnsi="Palatino Linotype" w:cs="Arial"/>
          <w:sz w:val="24"/>
          <w:szCs w:val="24"/>
        </w:rPr>
        <w:t>;</w:t>
      </w:r>
      <w:r w:rsidRPr="00D54F5D">
        <w:rPr>
          <w:rFonts w:ascii="Palatino Linotype" w:hAnsi="Palatino Linotype"/>
          <w:sz w:val="24"/>
          <w:szCs w:val="24"/>
        </w:rPr>
        <w:t xml:space="preserve"> atento a ello, y en</w:t>
      </w:r>
      <w:r w:rsidRPr="00D54F5D">
        <w:rPr>
          <w:rFonts w:ascii="Palatino Linotype" w:eastAsia="Arial Unicode MS" w:hAnsi="Palatino Linotype" w:cs="Arial"/>
          <w:sz w:val="24"/>
          <w:szCs w:val="24"/>
          <w:lang w:val="es-ES_tradnl"/>
        </w:rPr>
        <w:t xml:space="preserve"> razón de que </w:t>
      </w:r>
      <w:r w:rsidRPr="00D54F5D">
        <w:rPr>
          <w:rFonts w:ascii="Palatino Linotype" w:hAnsi="Palatino Linotype"/>
          <w:sz w:val="24"/>
          <w:szCs w:val="24"/>
        </w:rPr>
        <w:t xml:space="preserve">la solicitud realizada por la particular se encuentra relacionada con permisos de funcionamiento y licencias otorgadas a los comerciantes; es importante traer a contexto, </w:t>
      </w:r>
      <w:r w:rsidRPr="00D54F5D">
        <w:rPr>
          <w:rFonts w:ascii="Palatino Linotype" w:eastAsia="Calibri" w:hAnsi="Palatino Linotype" w:cs="Arial"/>
          <w:sz w:val="24"/>
          <w:szCs w:val="24"/>
        </w:rPr>
        <w:t>los artículos 31, 48 y 49 de la Ley Orgánica Municipal del Estado de México, los cuales establecen lo siguiente:</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Artículo 31.-</w:t>
      </w:r>
      <w:r w:rsidRPr="00D54F5D">
        <w:rPr>
          <w:rFonts w:ascii="Palatino Linotype" w:hAnsi="Palatino Linotype"/>
          <w:i/>
          <w:sz w:val="22"/>
          <w:szCs w:val="22"/>
        </w:rPr>
        <w:t xml:space="preserve"> </w:t>
      </w:r>
      <w:r w:rsidRPr="00D54F5D">
        <w:rPr>
          <w:rFonts w:ascii="Palatino Linotype" w:hAnsi="Palatino Linotype"/>
          <w:b/>
          <w:i/>
          <w:sz w:val="22"/>
          <w:szCs w:val="22"/>
        </w:rPr>
        <w:t>Son atribuciones de los ayuntamientos</w:t>
      </w:r>
      <w:r w:rsidRPr="00D54F5D">
        <w:rPr>
          <w:rFonts w:ascii="Palatino Linotype" w:hAnsi="Palatino Linotype"/>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w:t>
      </w:r>
      <w:r w:rsidRPr="00D54F5D">
        <w:rPr>
          <w:rFonts w:ascii="Palatino Linotype" w:hAnsi="Palatino Linotype"/>
          <w:i/>
          <w:sz w:val="22"/>
          <w:szCs w:val="22"/>
        </w:rPr>
        <w:t xml:space="preserve"> </w:t>
      </w:r>
      <w:r w:rsidRPr="00D54F5D">
        <w:rPr>
          <w:rFonts w:ascii="Palatino Linotype" w:hAnsi="Palatino Linotype"/>
          <w:b/>
          <w:i/>
          <w:sz w:val="22"/>
          <w:szCs w:val="22"/>
        </w:rPr>
        <w:t>Expedir y reformar el Bando Municipal</w:t>
      </w:r>
      <w:r w:rsidRPr="00D54F5D">
        <w:rPr>
          <w:rFonts w:ascii="Palatino Linotype" w:hAnsi="Palatino Linotype"/>
          <w:i/>
          <w:sz w:val="22"/>
          <w:szCs w:val="22"/>
        </w:rPr>
        <w:t>, así como los reglamentos, circulares y disposiciones administrativas de observancia general dentro del territorio del municipio, que sean necesarios para su organización, prestación de los servicios públicos y, en general, para el cumplimiento de sus atribuciones;</w:t>
      </w:r>
      <w:r w:rsidRPr="00D54F5D">
        <w:rPr>
          <w:rFonts w:ascii="Palatino Linotype" w:hAnsi="Palatino Linotype"/>
          <w:i/>
          <w:sz w:val="22"/>
          <w:szCs w:val="22"/>
        </w:rPr>
        <w:c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IX.</w:t>
      </w:r>
      <w:r w:rsidRPr="00D54F5D">
        <w:rPr>
          <w:rFonts w:ascii="Palatino Linotype" w:hAnsi="Palatino Linotype"/>
          <w:i/>
          <w:sz w:val="22"/>
          <w:szCs w:val="22"/>
        </w:rPr>
        <w:t xml:space="preserve"> Crear las unidades administrativas necesarias para el adecuado funcionamiento de la administración pública municipal y para la eficaz prestación de los servicios públicos;</w:t>
      </w:r>
      <w:r w:rsidRPr="00D54F5D">
        <w:rPr>
          <w:rFonts w:ascii="Palatino Linotype" w:hAnsi="Palatino Linotype"/>
          <w:i/>
          <w:sz w:val="22"/>
          <w:szCs w:val="22"/>
        </w:rPr>
        <w:cr/>
      </w:r>
      <w:r w:rsidRPr="00D54F5D">
        <w:rPr>
          <w:rFonts w:ascii="Palatino Linotype" w:hAnsi="Palatino Linotype"/>
          <w:b/>
          <w:i/>
          <w:sz w:val="22"/>
          <w:szCs w:val="22"/>
        </w:rPr>
        <w:lastRenderedPageBreak/>
        <w:t>XVIII.</w:t>
      </w:r>
      <w:r w:rsidRPr="00D54F5D">
        <w:rPr>
          <w:rFonts w:ascii="Palatino Linotype" w:hAnsi="Palatino Linotype"/>
          <w:i/>
          <w:sz w:val="22"/>
          <w:szCs w:val="22"/>
        </w:rPr>
        <w:t xml:space="preserve"> Administrar su hacienda en términos de ley, y controlar a través del presidente y síndico la aplicación del presupuesto de egresos del municipio;</w:t>
      </w:r>
      <w:r w:rsidRPr="00D54F5D">
        <w:rPr>
          <w:rFonts w:ascii="Palatino Linotype" w:hAnsi="Palatino Linotype"/>
          <w:i/>
          <w:sz w:val="22"/>
          <w:szCs w:val="22"/>
        </w:rPr>
        <w:cr/>
      </w:r>
      <w:r w:rsidRPr="00D54F5D">
        <w:rPr>
          <w:rFonts w:ascii="Palatino Linotype" w:hAnsi="Palatino Linotype"/>
          <w:b/>
          <w:i/>
          <w:sz w:val="22"/>
          <w:szCs w:val="22"/>
        </w:rPr>
        <w:t>XIX.</w:t>
      </w:r>
      <w:r w:rsidRPr="00D54F5D">
        <w:rPr>
          <w:rFonts w:ascii="Palatino Linotype" w:hAnsi="Palatino Linotype"/>
          <w:i/>
          <w:sz w:val="22"/>
          <w:szCs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w:t>
      </w:r>
      <w:r w:rsidRPr="00D54F5D">
        <w:rPr>
          <w:rFonts w:ascii="Palatino Linotype" w:hAnsi="Palatino Linotype"/>
          <w:b/>
          <w:i/>
          <w:sz w:val="22"/>
          <w:szCs w:val="22"/>
        </w:rPr>
        <w:t>Ley de Ingresos Municipal que haga la Legislatura,</w:t>
      </w:r>
      <w:r w:rsidRPr="00D54F5D">
        <w:rPr>
          <w:rFonts w:ascii="Palatino Linotype" w:hAnsi="Palatino Linotype"/>
          <w:i/>
          <w:sz w:val="22"/>
          <w:szCs w:val="22"/>
        </w:rPr>
        <w:t xml:space="preserve"> así como por la asignación de las participaciones y aportaciones federales y estatales.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XLIV.</w:t>
      </w:r>
      <w:r w:rsidRPr="00D54F5D">
        <w:rPr>
          <w:rFonts w:ascii="Palatino Linotype" w:hAnsi="Palatino Linotype"/>
          <w:i/>
          <w:sz w:val="22"/>
          <w:szCs w:val="22"/>
        </w:rPr>
        <w:t xml:space="preserve"> </w:t>
      </w:r>
      <w:r w:rsidRPr="00D54F5D">
        <w:rPr>
          <w:rFonts w:ascii="Palatino Linotype" w:hAnsi="Palatino Linotype"/>
          <w:b/>
          <w:i/>
          <w:sz w:val="22"/>
          <w:szCs w:val="22"/>
        </w:rPr>
        <w:t>Crear el Registro Municipal de Unidades Económicas, donde se especifique la licencia de funcionamiento con la actividad de la unidad económica e impacto que generen, así como las demás características que se determinen</w:t>
      </w:r>
      <w:r w:rsidRPr="00D54F5D">
        <w:rPr>
          <w:rFonts w:ascii="Palatino Linotype" w:hAnsi="Palatino Linotype"/>
          <w:i/>
          <w:sz w:val="22"/>
          <w:szCs w:val="22"/>
        </w:rPr>
        <w:t>;</w:t>
      </w:r>
    </w:p>
    <w:p w:rsidR="00B32835" w:rsidRPr="00D54F5D" w:rsidRDefault="00B32835" w:rsidP="00B32835">
      <w:pPr>
        <w:ind w:left="709" w:right="709"/>
        <w:jc w:val="both"/>
        <w:rPr>
          <w:rFonts w:ascii="Palatino Linotype" w:hAnsi="Palatino Linotype"/>
          <w:i/>
          <w:sz w:val="22"/>
          <w:szCs w:val="22"/>
        </w:rPr>
      </w:pP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Artículo 48.-</w:t>
      </w:r>
      <w:r w:rsidRPr="00D54F5D">
        <w:rPr>
          <w:rFonts w:ascii="Palatino Linotype" w:hAnsi="Palatino Linotype"/>
          <w:i/>
          <w:sz w:val="22"/>
          <w:szCs w:val="22"/>
        </w:rPr>
        <w:t xml:space="preserve"> El presidente municipal tiene las siguientes atribuciones: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w:t>
      </w:r>
      <w:r w:rsidRPr="00D54F5D">
        <w:rPr>
          <w:rFonts w:ascii="Palatino Linotype" w:hAnsi="Palatino Linotype"/>
          <w:i/>
          <w:sz w:val="22"/>
          <w:szCs w:val="22"/>
        </w:rPr>
        <w:t xml:space="preserve"> Presidir y dirigir las sesiones del ayuntamiento;</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II.</w:t>
      </w:r>
      <w:r w:rsidRPr="00D54F5D">
        <w:rPr>
          <w:rFonts w:ascii="Palatino Linotype" w:hAnsi="Palatino Linotype"/>
          <w:i/>
          <w:sz w:val="22"/>
          <w:szCs w:val="22"/>
        </w:rPr>
        <w:t xml:space="preserve"> Ejecutar los acuerdos del ayuntamiento e informar su cumplimiento;</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III.</w:t>
      </w:r>
      <w:r w:rsidRPr="00D54F5D">
        <w:rPr>
          <w:rFonts w:ascii="Palatino Linotype" w:hAnsi="Palatino Linotype"/>
          <w:i/>
          <w:sz w:val="22"/>
          <w:szCs w:val="22"/>
        </w:rPr>
        <w:t xml:space="preserve"> Promulgar y publicar el Bando Municipal en la Gaceta Municipal y en los estrados de la Secretaría del Ayuntamiento, así como ordenar la difusión de las normas de carácter general y reglamentos aprobados por el Ayuntamiento;</w:t>
      </w:r>
      <w:r w:rsidRPr="00D54F5D">
        <w:rPr>
          <w:rFonts w:ascii="Palatino Linotype" w:hAnsi="Palatino Linotype"/>
          <w:i/>
          <w:sz w:val="22"/>
          <w:szCs w:val="22"/>
        </w:rPr>
        <w:cr/>
        <w:t>…</w:t>
      </w:r>
    </w:p>
    <w:p w:rsidR="00B32835" w:rsidRPr="00D54F5D" w:rsidRDefault="00B32835" w:rsidP="00B32835">
      <w:pPr>
        <w:ind w:left="851" w:right="901"/>
        <w:jc w:val="both"/>
        <w:rPr>
          <w:rFonts w:ascii="Palatino Linotype" w:hAnsi="Palatino Linotype"/>
          <w:b/>
          <w:i/>
          <w:sz w:val="22"/>
          <w:szCs w:val="22"/>
        </w:rPr>
      </w:pPr>
      <w:r w:rsidRPr="00D54F5D">
        <w:rPr>
          <w:rFonts w:ascii="Palatino Linotype" w:hAnsi="Palatino Linotype"/>
          <w:b/>
          <w:i/>
          <w:sz w:val="22"/>
          <w:szCs w:val="22"/>
        </w:rPr>
        <w:t>IX.</w:t>
      </w:r>
      <w:r w:rsidRPr="00D54F5D">
        <w:rPr>
          <w:rFonts w:ascii="Palatino Linotype" w:hAnsi="Palatino Linotype"/>
          <w:i/>
          <w:sz w:val="22"/>
          <w:szCs w:val="22"/>
        </w:rPr>
        <w:t xml:space="preserve"> Verificar que la recaudación de las contribuciones y demás ingresos propios del municipio se realicen conforme a las disposiciones legales aplicables;</w:t>
      </w:r>
      <w:r w:rsidRPr="00D54F5D">
        <w:rPr>
          <w:rFonts w:ascii="Palatino Linotype" w:hAnsi="Palatino Linotype"/>
          <w:i/>
          <w:sz w:val="22"/>
          <w:szCs w:val="22"/>
        </w:rPr>
        <w:cr/>
      </w:r>
      <w:r w:rsidRPr="00D54F5D">
        <w:rPr>
          <w:rFonts w:ascii="Palatino Linotype" w:hAnsi="Palatino Linotype"/>
          <w:b/>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Artículo 49.-</w:t>
      </w:r>
      <w:r w:rsidRPr="00D54F5D">
        <w:rPr>
          <w:rFonts w:ascii="Palatino Linotype" w:hAnsi="Palatino Linotype"/>
          <w:i/>
          <w:sz w:val="22"/>
          <w:szCs w:val="22"/>
        </w:rPr>
        <w:t xml:space="preserve"> Para el cumplimiento de sus funciones, el presidente municipal se auxiliará de los demás integrantes del ayuntamiento, así como de los órganos administrativos y comisiones que esta Ley establezca.</w:t>
      </w:r>
    </w:p>
    <w:p w:rsidR="00B32835" w:rsidRPr="00D54F5D" w:rsidRDefault="00B32835" w:rsidP="00B32835">
      <w:pPr>
        <w:ind w:left="709" w:right="709"/>
        <w:jc w:val="both"/>
        <w:rPr>
          <w:rFonts w:ascii="Palatino Linotype" w:hAnsi="Palatino Linotype"/>
          <w:i/>
          <w:sz w:val="22"/>
          <w:szCs w:val="22"/>
        </w:rPr>
      </w:pPr>
    </w:p>
    <w:p w:rsidR="00B32835" w:rsidRPr="00D54F5D" w:rsidRDefault="00B32835" w:rsidP="00B32835">
      <w:pPr>
        <w:ind w:left="851" w:right="901"/>
        <w:jc w:val="center"/>
        <w:rPr>
          <w:rFonts w:ascii="Palatino Linotype" w:hAnsi="Palatino Linotype"/>
          <w:b/>
          <w:i/>
          <w:sz w:val="22"/>
          <w:szCs w:val="22"/>
        </w:rPr>
      </w:pPr>
      <w:r w:rsidRPr="00D54F5D">
        <w:rPr>
          <w:rFonts w:ascii="Palatino Linotype" w:hAnsi="Palatino Linotype"/>
          <w:b/>
          <w:i/>
          <w:sz w:val="22"/>
          <w:szCs w:val="22"/>
        </w:rPr>
        <w:t>CAPITULO SEGUNDO</w:t>
      </w:r>
    </w:p>
    <w:p w:rsidR="00B32835" w:rsidRPr="00D54F5D" w:rsidRDefault="00B32835" w:rsidP="00B32835">
      <w:pPr>
        <w:ind w:left="851" w:right="901"/>
        <w:jc w:val="center"/>
        <w:rPr>
          <w:rFonts w:ascii="Palatino Linotype" w:hAnsi="Palatino Linotype"/>
          <w:b/>
          <w:i/>
          <w:sz w:val="22"/>
          <w:szCs w:val="22"/>
        </w:rPr>
      </w:pPr>
      <w:r w:rsidRPr="00D54F5D">
        <w:rPr>
          <w:rFonts w:ascii="Palatino Linotype" w:hAnsi="Palatino Linotype"/>
          <w:b/>
          <w:i/>
          <w:sz w:val="22"/>
          <w:szCs w:val="22"/>
        </w:rPr>
        <w:t>De la Tesorería Municipal</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 xml:space="preserve">Artículo 93.- </w:t>
      </w:r>
      <w:r w:rsidRPr="00D54F5D">
        <w:rPr>
          <w:rFonts w:ascii="Palatino Linotype" w:hAnsi="Palatino Linotype"/>
          <w:i/>
          <w:sz w:val="22"/>
          <w:szCs w:val="22"/>
        </w:rPr>
        <w:t>La tesorería municipal es el órgano encargado de la recaudación de los ingresos municipales y responsable de realizar las erogaciones que haga el ayuntamiento.</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Artículo 94.-</w:t>
      </w:r>
      <w:r w:rsidRPr="00D54F5D">
        <w:rPr>
          <w:rFonts w:ascii="Palatino Linotype" w:hAnsi="Palatino Linotype"/>
          <w:i/>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Artículo 95.-</w:t>
      </w:r>
      <w:r w:rsidRPr="00D54F5D">
        <w:rPr>
          <w:rFonts w:ascii="Palatino Linotype" w:hAnsi="Palatino Linotype"/>
          <w:i/>
          <w:sz w:val="22"/>
          <w:szCs w:val="22"/>
        </w:rPr>
        <w:t xml:space="preserve"> Son atribuciones del tesorero municipal:</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I.</w:t>
      </w:r>
      <w:r w:rsidRPr="00D54F5D">
        <w:rPr>
          <w:rFonts w:ascii="Palatino Linotype" w:hAnsi="Palatino Linotype"/>
          <w:i/>
          <w:sz w:val="22"/>
          <w:szCs w:val="22"/>
        </w:rPr>
        <w:t xml:space="preserve"> Administrar la hacienda pública municipal, de conformidad con las disposiciones legales aplicables;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lastRenderedPageBreak/>
        <w:t>II.</w:t>
      </w:r>
      <w:r w:rsidRPr="00D54F5D">
        <w:rPr>
          <w:rFonts w:ascii="Palatino Linotype" w:hAnsi="Palatino Linotype"/>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VI.</w:t>
      </w:r>
      <w:r w:rsidRPr="00D54F5D">
        <w:rPr>
          <w:rFonts w:ascii="Palatino Linotype" w:hAnsi="Palatino Linotype"/>
          <w:i/>
          <w:sz w:val="22"/>
          <w:szCs w:val="22"/>
        </w:rPr>
        <w:t xml:space="preserve"> Presentar anualmente al ayuntamiento un informe de la situación contable financiera de la Tesorería Municipal;</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VII.</w:t>
      </w:r>
      <w:r w:rsidRPr="00D54F5D">
        <w:rPr>
          <w:rFonts w:ascii="Palatino Linotype" w:hAnsi="Palatino Linotype"/>
          <w:i/>
          <w:sz w:val="22"/>
          <w:szCs w:val="22"/>
        </w:rPr>
        <w:t xml:space="preserve"> Diseñar y aprobar las formas oficiales de manifestaciones, avisos y declaraciones y demás documentos requeridos;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VIII.</w:t>
      </w:r>
      <w:r w:rsidRPr="00D54F5D">
        <w:rPr>
          <w:rFonts w:ascii="Palatino Linotype" w:hAnsi="Palatino Linotype"/>
          <w:i/>
          <w:sz w:val="22"/>
          <w:szCs w:val="22"/>
        </w:rPr>
        <w:t xml:space="preserve"> Participar en la formulación de Convenios Fiscales y ejercer las atribuciones que le correspondan en el ámbito de su competencia;</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b/>
          <w:i/>
          <w:sz w:val="22"/>
          <w:szCs w:val="22"/>
        </w:rPr>
        <w:t>XIII.</w:t>
      </w:r>
      <w:r w:rsidRPr="00D54F5D">
        <w:rPr>
          <w:rFonts w:ascii="Palatino Linotype" w:hAnsi="Palatino Linotype"/>
          <w:i/>
          <w:sz w:val="22"/>
          <w:szCs w:val="22"/>
        </w:rPr>
        <w:t xml:space="preserve"> Elaborar y mantener actualizado el Padrón de Contribuyentes;</w:t>
      </w:r>
    </w:p>
    <w:p w:rsidR="00B32835" w:rsidRPr="00D54F5D" w:rsidRDefault="00B32835" w:rsidP="00B32835">
      <w:pPr>
        <w:ind w:left="851" w:right="901"/>
        <w:jc w:val="both"/>
        <w:rPr>
          <w:rFonts w:ascii="Palatino Linotype" w:hAnsi="Palatino Linotype"/>
          <w:i/>
          <w:sz w:val="22"/>
          <w:szCs w:val="22"/>
        </w:rPr>
      </w:pPr>
      <w:r w:rsidRPr="00D54F5D">
        <w:rPr>
          <w:rFonts w:ascii="Palatino Linotype" w:hAnsi="Palatino Linotype"/>
          <w:i/>
          <w:sz w:val="22"/>
          <w:szCs w:val="22"/>
        </w:rPr>
        <w:t>. . .”</w:t>
      </w:r>
      <w:r w:rsidRPr="00D54F5D">
        <w:rPr>
          <w:rFonts w:ascii="Palatino Linotype" w:hAnsi="Palatino Linotype"/>
          <w:i/>
          <w:sz w:val="22"/>
          <w:szCs w:val="22"/>
        </w:rPr>
        <w:cr/>
        <w:t>(Énfasis añadido)</w:t>
      </w:r>
    </w:p>
    <w:p w:rsidR="00B32835" w:rsidRPr="00D54F5D" w:rsidRDefault="00B32835" w:rsidP="00B32835">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De lo anterior, se puede advertir que los Ayuntamientos tienen la atribución de expedir y reformar su Bando Municipal, asimismo para dar cumplimiento a las funciones que le son encomendadas puede crear las unidades administrativas necesarias para tal fin, de igual forma tienen como atribuciones administrar los recursos obtenidos de su hacienda, en los términos de la legislación aplicable, controlando éstos, a través del Presidente y Síndico Municipal, la aplicación del presupuesto, en base a sus ingresos obtenidos por los servicios que presta; asimismo, dentro de sus atribuciones del Ayuntamiento se encuentra contemplada la de llevar un</w:t>
      </w:r>
      <w:r w:rsidRPr="00D54F5D">
        <w:rPr>
          <w:rFonts w:ascii="Palatino Linotype" w:hAnsi="Palatino Linotype"/>
          <w:b/>
          <w:i/>
          <w:sz w:val="22"/>
          <w:szCs w:val="22"/>
        </w:rPr>
        <w:t xml:space="preserve"> </w:t>
      </w:r>
      <w:r w:rsidRPr="00D54F5D">
        <w:rPr>
          <w:rFonts w:ascii="Palatino Linotype" w:hAnsi="Palatino Linotype" w:cs="Arial"/>
        </w:rPr>
        <w:t>Registro Municipal de Unidades Económicas, donde se especifique la licencia de funcionamiento con la actividad e impacto que generen.</w:t>
      </w:r>
    </w:p>
    <w:p w:rsidR="00B32835" w:rsidRPr="00D54F5D" w:rsidRDefault="00B32835" w:rsidP="00B32835">
      <w:pPr>
        <w:spacing w:before="100" w:beforeAutospacing="1" w:after="100" w:afterAutospacing="1" w:line="360" w:lineRule="auto"/>
        <w:ind w:right="49"/>
        <w:jc w:val="both"/>
        <w:rPr>
          <w:rFonts w:ascii="Palatino Linotype" w:hAnsi="Palatino Linotype"/>
        </w:rPr>
      </w:pPr>
      <w:r w:rsidRPr="00D54F5D">
        <w:rPr>
          <w:rFonts w:ascii="Palatino Linotype" w:hAnsi="Palatino Linotype" w:cs="Arial"/>
        </w:rPr>
        <w:t>De esta forma tenemos que, dentro de las atribuciones del Presidente Municipal, se tiene contemplada la de promulgar y publicar el Bando Municipal; asimismo, para el e</w:t>
      </w:r>
      <w:r w:rsidRPr="00D54F5D">
        <w:rPr>
          <w:rFonts w:ascii="Palatino Linotype" w:hAnsi="Palatino Linotype"/>
        </w:rPr>
        <w:t>jercicio de sus atribuciones, cuenta con un Tesorero, encargado de la administración de la hacienda pública municipal, quién tiene la atribución de proponer los ingresos que percibirá el Municipio y que serán aprobados por la Legislatura.</w:t>
      </w:r>
    </w:p>
    <w:p w:rsidR="00B32835" w:rsidRPr="00D54F5D" w:rsidRDefault="00B32835" w:rsidP="00B32835">
      <w:pPr>
        <w:spacing w:before="100" w:beforeAutospacing="1" w:after="100" w:afterAutospacing="1" w:line="360" w:lineRule="auto"/>
        <w:ind w:right="49"/>
        <w:jc w:val="both"/>
        <w:rPr>
          <w:rFonts w:ascii="Palatino Linotype" w:hAnsi="Palatino Linotype"/>
        </w:rPr>
      </w:pPr>
      <w:r w:rsidRPr="00D54F5D">
        <w:rPr>
          <w:rFonts w:ascii="Palatino Linotype" w:hAnsi="Palatino Linotype"/>
        </w:rPr>
        <w:lastRenderedPageBreak/>
        <w:t>De esta forma tenemos que la Ley de Ingresos de los Municipios del Estado De México para el ejercicio fiscal del año 2019, señala lo siguiente:</w:t>
      </w:r>
    </w:p>
    <w:p w:rsidR="00B32835" w:rsidRPr="00D54F5D" w:rsidRDefault="00B32835" w:rsidP="00B32835">
      <w:pPr>
        <w:ind w:left="851" w:right="902"/>
        <w:jc w:val="both"/>
        <w:rPr>
          <w:rFonts w:ascii="Palatino Linotype" w:hAnsi="Palatino Linotype"/>
          <w:i/>
          <w:sz w:val="22"/>
          <w:szCs w:val="22"/>
        </w:rPr>
      </w:pPr>
      <w:r w:rsidRPr="00D54F5D">
        <w:rPr>
          <w:rFonts w:ascii="Palatino Linotype" w:hAnsi="Palatino Linotype"/>
          <w:b/>
          <w:i/>
          <w:sz w:val="22"/>
          <w:szCs w:val="22"/>
        </w:rPr>
        <w:t xml:space="preserve">“3. DERECHOS: </w:t>
      </w:r>
    </w:p>
    <w:p w:rsidR="00B32835" w:rsidRPr="00D54F5D" w:rsidRDefault="00B32835" w:rsidP="00B32835">
      <w:pPr>
        <w:ind w:left="851" w:right="902"/>
        <w:jc w:val="both"/>
        <w:rPr>
          <w:rFonts w:ascii="Palatino Linotype" w:hAnsi="Palatino Linotype"/>
          <w:i/>
          <w:sz w:val="22"/>
          <w:szCs w:val="22"/>
        </w:rPr>
      </w:pPr>
      <w:r w:rsidRPr="00D54F5D">
        <w:rPr>
          <w:rFonts w:ascii="Palatino Linotype" w:hAnsi="Palatino Linotype"/>
          <w:b/>
          <w:i/>
          <w:sz w:val="22"/>
          <w:szCs w:val="22"/>
        </w:rPr>
        <w:t>3.1.</w:t>
      </w:r>
      <w:r w:rsidRPr="00D54F5D">
        <w:rPr>
          <w:rFonts w:ascii="Palatino Linotype" w:hAnsi="Palatino Linotype"/>
          <w:i/>
          <w:sz w:val="22"/>
          <w:szCs w:val="22"/>
        </w:rPr>
        <w:t xml:space="preserve"> Derechos por el Uso, Goce, Aprovechamiento o Explotación de Bienes de Dominio Público. </w:t>
      </w:r>
    </w:p>
    <w:p w:rsidR="00B32835" w:rsidRPr="00D54F5D" w:rsidRDefault="00B32835" w:rsidP="00B32835">
      <w:pPr>
        <w:ind w:left="851" w:right="902"/>
        <w:jc w:val="both"/>
        <w:rPr>
          <w:rFonts w:ascii="Palatino Linotype" w:hAnsi="Palatino Linotype"/>
          <w:b/>
          <w:i/>
          <w:sz w:val="22"/>
          <w:szCs w:val="22"/>
        </w:rPr>
      </w:pPr>
      <w:r w:rsidRPr="00D54F5D">
        <w:rPr>
          <w:rFonts w:ascii="Palatino Linotype" w:hAnsi="Palatino Linotype"/>
          <w:b/>
          <w:i/>
          <w:sz w:val="22"/>
          <w:szCs w:val="22"/>
        </w:rPr>
        <w:t>3.2.8.</w:t>
      </w:r>
      <w:r w:rsidRPr="00D54F5D">
        <w:rPr>
          <w:rFonts w:ascii="Palatino Linotype" w:hAnsi="Palatino Linotype"/>
          <w:i/>
          <w:sz w:val="22"/>
          <w:szCs w:val="22"/>
        </w:rPr>
        <w:t xml:space="preserve"> </w:t>
      </w:r>
      <w:r w:rsidRPr="00D54F5D">
        <w:rPr>
          <w:rFonts w:ascii="Palatino Linotype" w:hAnsi="Palatino Linotype"/>
          <w:b/>
          <w:i/>
          <w:sz w:val="22"/>
          <w:szCs w:val="22"/>
        </w:rPr>
        <w:t>Por la Expedición o Refrendo Anual de Licencias para la Venta de Bebidas Alcohólicas al Público.</w:t>
      </w:r>
    </w:p>
    <w:p w:rsidR="00B32835" w:rsidRPr="00D54F5D" w:rsidRDefault="00B32835" w:rsidP="00B32835">
      <w:pPr>
        <w:ind w:left="851" w:right="902"/>
        <w:jc w:val="both"/>
        <w:rPr>
          <w:rFonts w:ascii="Palatino Linotype" w:hAnsi="Palatino Linotype"/>
          <w:b/>
          <w:i/>
          <w:sz w:val="22"/>
          <w:szCs w:val="22"/>
        </w:rPr>
      </w:pPr>
      <w:r w:rsidRPr="00D54F5D">
        <w:rPr>
          <w:rFonts w:ascii="Palatino Linotype" w:hAnsi="Palatino Linotype"/>
          <w:b/>
          <w:i/>
          <w:sz w:val="22"/>
          <w:szCs w:val="22"/>
        </w:rPr>
        <w:t>…</w:t>
      </w:r>
    </w:p>
    <w:p w:rsidR="00B32835" w:rsidRPr="00D54F5D" w:rsidRDefault="00B32835" w:rsidP="00B32835">
      <w:pPr>
        <w:ind w:left="851" w:right="902"/>
        <w:jc w:val="both"/>
        <w:rPr>
          <w:rFonts w:ascii="Palatino Linotype" w:hAnsi="Palatino Linotype"/>
          <w:i/>
          <w:sz w:val="22"/>
          <w:szCs w:val="22"/>
        </w:rPr>
      </w:pPr>
      <w:r w:rsidRPr="00D54F5D">
        <w:rPr>
          <w:rFonts w:ascii="Palatino Linotype" w:hAnsi="Palatino Linotype"/>
          <w:b/>
          <w:i/>
          <w:sz w:val="22"/>
          <w:szCs w:val="22"/>
        </w:rPr>
        <w:t>Artículo 4.-</w:t>
      </w:r>
      <w:r w:rsidRPr="00D54F5D">
        <w:rPr>
          <w:rFonts w:ascii="Palatino Linotype" w:hAnsi="Palatino Linotype"/>
          <w:i/>
          <w:sz w:val="22"/>
          <w:szCs w:val="22"/>
        </w:rPr>
        <w:t xml:space="preserve"> El pago de las contribuciones por los conceptos a que se refiere el artículo 1 de esta Ley, se realizará en las oficinas recaudadoras de la Tesorería Municipal correspondiente, en las de los organismos del sector auxiliar de la Administración Pública Municipal, en la Caja General de Gobierno de la Subsecretaría de Tesorería de la Secretaría de Finanzas del Gobierno del Estado de México, cuando se tenga convenio para tal efecto, en instituciones o entidades del sistema financiero mexicano debidamente autorizadas o en las oficinas o establecimientos que el propio ayuntamiento designe, y por los medios electrónicos que determine la Tesorería Municipal.”</w:t>
      </w:r>
    </w:p>
    <w:p w:rsidR="00B32835" w:rsidRPr="00D54F5D" w:rsidRDefault="00B32835" w:rsidP="00B32835">
      <w:pPr>
        <w:spacing w:before="100" w:beforeAutospacing="1" w:after="100" w:afterAutospacing="1" w:line="360" w:lineRule="auto"/>
        <w:ind w:right="51"/>
        <w:jc w:val="both"/>
        <w:rPr>
          <w:rFonts w:ascii="Palatino Linotype" w:hAnsi="Palatino Linotype"/>
        </w:rPr>
      </w:pPr>
      <w:r w:rsidRPr="00D54F5D">
        <w:rPr>
          <w:rFonts w:ascii="Palatino Linotype" w:hAnsi="Palatino Linotype"/>
        </w:rPr>
        <w:t xml:space="preserve">Bajo lo anterior, se desprende que los Municipios obtienen ingresos por derechos, de los cuales se contempla la expedición o refrendo de Licencias para la venta de bebidas alcohólicas al público el cual es recaudado por la Tesorería Municipal. </w:t>
      </w:r>
    </w:p>
    <w:p w:rsidR="00B32835" w:rsidRPr="00D54F5D" w:rsidRDefault="00B32835" w:rsidP="00B32835">
      <w:pPr>
        <w:spacing w:line="360" w:lineRule="auto"/>
        <w:ind w:right="49"/>
        <w:jc w:val="both"/>
        <w:rPr>
          <w:rFonts w:ascii="Palatino Linotype" w:hAnsi="Palatino Linotype"/>
        </w:rPr>
      </w:pPr>
      <w:r w:rsidRPr="00D54F5D">
        <w:rPr>
          <w:rFonts w:ascii="Palatino Linotype" w:hAnsi="Palatino Linotype"/>
        </w:rPr>
        <w:t>En este orden de ideas, el Bando Municipal de Metepec 2019, dispone:</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14.-</w:t>
      </w:r>
      <w:r w:rsidRPr="00D54F5D">
        <w:rPr>
          <w:rFonts w:ascii="Palatino Linotype" w:hAnsi="Palatino Linotype"/>
          <w:i/>
          <w:sz w:val="22"/>
          <w:szCs w:val="22"/>
        </w:rPr>
        <w:t xml:space="preserve"> El municipio de Metepec, para su organización territorial, está integrado por: </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cs="Arial"/>
          <w:b/>
          <w:i/>
          <w:color w:val="000000" w:themeColor="text1"/>
          <w:sz w:val="22"/>
          <w:szCs w:val="22"/>
        </w:rPr>
      </w:pPr>
      <w:r w:rsidRPr="00D54F5D">
        <w:rPr>
          <w:rFonts w:ascii="Palatino Linotype" w:hAnsi="Palatino Linotype"/>
          <w:b/>
          <w:i/>
          <w:sz w:val="22"/>
          <w:szCs w:val="22"/>
        </w:rPr>
        <w:t>1 Cabecera Municipal, denominada: “Ciudad Típica de Metepec”, con seis Barrios;</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 xml:space="preserve">CABECERA MUNICIPAL, INTEGRADA POR SEIS BARRIOS: </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1. Barrio de Coaxustenco </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2. Barrio de San Mateo </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3. Barrio de San Miguel </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4. Barrio de Santa Cruz </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5. Barrio de Santiaguito </w:t>
      </w:r>
    </w:p>
    <w:p w:rsidR="00B32835" w:rsidRPr="00D54F5D" w:rsidRDefault="00B32835" w:rsidP="00B32835">
      <w:pPr>
        <w:ind w:left="851" w:right="992"/>
        <w:jc w:val="both"/>
        <w:rPr>
          <w:rFonts w:ascii="Palatino Linotype" w:hAnsi="Palatino Linotype" w:cs="Arial"/>
          <w:i/>
          <w:sz w:val="22"/>
          <w:szCs w:val="22"/>
        </w:rPr>
      </w:pPr>
      <w:r w:rsidRPr="00D54F5D">
        <w:rPr>
          <w:rFonts w:ascii="Palatino Linotype" w:hAnsi="Palatino Linotype"/>
          <w:i/>
          <w:sz w:val="22"/>
          <w:szCs w:val="22"/>
        </w:rPr>
        <w:t>6. Barrio del Espíritu Santo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36.-</w:t>
      </w:r>
      <w:r w:rsidRPr="00D54F5D">
        <w:rPr>
          <w:rFonts w:ascii="Palatino Linotype" w:hAnsi="Palatino Linotype"/>
          <w:i/>
          <w:sz w:val="22"/>
          <w:szCs w:val="22"/>
        </w:rPr>
        <w:t xml:space="preserve"> La Administración Pública Centralizada, es una forma de organización de la Administración Pública del Municipio, la cual se integra por:</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V. Direcciones de:</w:t>
      </w:r>
    </w:p>
    <w:p w:rsidR="00B32835" w:rsidRPr="00D54F5D" w:rsidRDefault="00B32835" w:rsidP="00B32835">
      <w:pPr>
        <w:ind w:left="1134"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1134" w:right="992"/>
        <w:jc w:val="both"/>
        <w:rPr>
          <w:rFonts w:ascii="Palatino Linotype" w:hAnsi="Palatino Linotype"/>
          <w:b/>
          <w:i/>
          <w:sz w:val="22"/>
          <w:szCs w:val="22"/>
        </w:rPr>
      </w:pPr>
      <w:r w:rsidRPr="00D54F5D">
        <w:rPr>
          <w:rFonts w:ascii="Palatino Linotype" w:hAnsi="Palatino Linotype"/>
          <w:b/>
          <w:i/>
          <w:sz w:val="22"/>
          <w:szCs w:val="22"/>
        </w:rPr>
        <w:t>d) Desarrollo Económico, Turístico y Artesanal;</w:t>
      </w:r>
    </w:p>
    <w:p w:rsidR="00B32835" w:rsidRPr="00D54F5D" w:rsidRDefault="00B32835" w:rsidP="00B32835">
      <w:pPr>
        <w:ind w:left="1134" w:right="992"/>
        <w:jc w:val="both"/>
        <w:rPr>
          <w:rFonts w:ascii="Palatino Linotype" w:hAnsi="Palatino Linotype"/>
          <w:b/>
          <w:i/>
          <w:sz w:val="22"/>
          <w:szCs w:val="22"/>
        </w:rPr>
      </w:pPr>
      <w:r w:rsidRPr="00D54F5D">
        <w:rPr>
          <w:rFonts w:ascii="Palatino Linotype" w:hAnsi="Palatino Linotype"/>
          <w:b/>
          <w:i/>
          <w:sz w:val="22"/>
          <w:szCs w:val="22"/>
        </w:rPr>
        <w:t>g) Gobernación;</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85.-</w:t>
      </w:r>
      <w:r w:rsidRPr="00D54F5D">
        <w:rPr>
          <w:b/>
          <w:sz w:val="16"/>
          <w:szCs w:val="16"/>
        </w:rPr>
        <w:footnoteReference w:id="2"/>
      </w:r>
      <w:r w:rsidRPr="00D54F5D">
        <w:rPr>
          <w:rFonts w:ascii="Palatino Linotype" w:hAnsi="Palatino Linotype"/>
          <w:i/>
          <w:sz w:val="22"/>
          <w:szCs w:val="22"/>
        </w:rPr>
        <w:t xml:space="preserve"> La ciudad típica se considera </w:t>
      </w:r>
      <w:r w:rsidRPr="00D54F5D">
        <w:rPr>
          <w:rFonts w:ascii="Palatino Linotype" w:hAnsi="Palatino Linotype"/>
          <w:b/>
          <w:i/>
          <w:sz w:val="22"/>
          <w:szCs w:val="22"/>
        </w:rPr>
        <w:t>al casco viejo de la cabecera del municipio de Metepec,</w:t>
      </w:r>
      <w:r w:rsidRPr="00D54F5D">
        <w:rPr>
          <w:rFonts w:ascii="Palatino Linotype" w:hAnsi="Palatino Linotype"/>
          <w:i/>
          <w:sz w:val="22"/>
          <w:szCs w:val="22"/>
        </w:rPr>
        <w:t xml:space="preserve"> denominado Pueblo Mágico, </w:t>
      </w:r>
      <w:r w:rsidRPr="00D54F5D">
        <w:rPr>
          <w:rFonts w:ascii="Palatino Linotype" w:hAnsi="Palatino Linotype"/>
          <w:b/>
          <w:i/>
          <w:sz w:val="22"/>
          <w:szCs w:val="22"/>
        </w:rPr>
        <w:t>con sus seis barrios:</w:t>
      </w:r>
      <w:r w:rsidRPr="00D54F5D">
        <w:rPr>
          <w:rFonts w:ascii="Palatino Linotype" w:hAnsi="Palatino Linotype"/>
          <w:i/>
          <w:sz w:val="22"/>
          <w:szCs w:val="22"/>
        </w:rPr>
        <w:t xml:space="preserve"> Santiaguito, Espíritu Santo, Santa Cruz, San Miguel, San Mateo y Coaxustenco. </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La delimitación territorial del área de la Ciudad Típica de Metepec, </w:t>
      </w:r>
      <w:r w:rsidRPr="00D54F5D">
        <w:rPr>
          <w:rFonts w:ascii="Palatino Linotype" w:hAnsi="Palatino Linotype"/>
          <w:b/>
          <w:i/>
          <w:sz w:val="22"/>
          <w:szCs w:val="22"/>
        </w:rPr>
        <w:t>comprende ambas aceras de las calles que a continuación se mencionan:</w:t>
      </w:r>
      <w:r w:rsidRPr="00D54F5D">
        <w:rPr>
          <w:rFonts w:ascii="Palatino Linotype" w:hAnsi="Palatino Linotype"/>
          <w:i/>
          <w:sz w:val="22"/>
          <w:szCs w:val="22"/>
        </w:rPr>
        <w:t xml:space="preserve"> Parte de la calle Pedro Ascencio, esquina con boulevard Toluca-Metepec, con dirección de Oeste a Este hasta la colindancia Oeste del Rancho San Martín Amozoc; </w:t>
      </w:r>
      <w:r w:rsidRPr="00D54F5D">
        <w:rPr>
          <w:rFonts w:ascii="Palatino Linotype" w:hAnsi="Palatino Linotype"/>
          <w:b/>
          <w:i/>
          <w:sz w:val="22"/>
          <w:szCs w:val="22"/>
        </w:rPr>
        <w:t>siguiendo en dirección de Sur</w:t>
      </w:r>
      <w:r w:rsidRPr="00D54F5D">
        <w:rPr>
          <w:rFonts w:ascii="Palatino Linotype" w:hAnsi="Palatino Linotype"/>
          <w:i/>
          <w:sz w:val="22"/>
          <w:szCs w:val="22"/>
        </w:rPr>
        <w:t xml:space="preserve"> a Norte, hasta la avenida Licenciado Benito Juárez; continuando con dirección de Sureste a Noroeste hasta la calle Josefa Ortiz de Domínguez; </w:t>
      </w:r>
      <w:r w:rsidRPr="00D54F5D">
        <w:rPr>
          <w:rFonts w:ascii="Palatino Linotype" w:hAnsi="Palatino Linotype"/>
          <w:b/>
          <w:i/>
          <w:sz w:val="22"/>
          <w:szCs w:val="22"/>
        </w:rPr>
        <w:t>dobla hacia el Este hasta la calle Melchor Ocampo</w:t>
      </w:r>
      <w:r w:rsidRPr="00D54F5D">
        <w:rPr>
          <w:rFonts w:ascii="Palatino Linotype" w:hAnsi="Palatino Linotype"/>
          <w:i/>
          <w:sz w:val="22"/>
          <w:szCs w:val="22"/>
        </w:rPr>
        <w:t>; siguiendo sobre ésta, en dirección de Sur a Norte, hasta donde inicia la calle Camino a La Hortaliza; se prolonga en dirección de Sur a Noroeste, hasta la calle Leona Vicario; para seguir en dirección de Oeste a Este, hasta la calle Moctezuma; después, continúa de Norte a Sur hasta la calle Sebastián Lerdo de Tejada; de Oeste a Este hasta la calle Vicente Guerrero; sobre esta misma calle en dirección de Norte a Sur hasta la calle Ezequiel Capistrán; continuando de Oeste a Este hasta la calle Hermenegildo Galeana; sobre esta misma calle de Norte a Sur hasta la calle Mariano Matamoros; doblando al Este hasta la calle Primero de Mayo; de esta calle de Norte a Sur hasta la calle Pedro Ascencio; doblando al Oeste hasta la calle Hermenegildo Galeana; continúa de Norte a Sur hasta Avenida Estado de México; de Oeste a Este sobre Avenida Estado de México, hasta la calle de acceso a la Unidad Habitacional Mayorazgo; continuando de Norte a Sur al paño exterior de la colindancia Oeste de esta Unidad, hasta la calle Juan Aldama; prosiguiendo al Oeste hasta la intersección conformada por las calles 16 de septiembre y General Pedro María Anaya; sobre esta última calle sigue de Norte a Sur hasta la calle Francisco Javier Mina; continuando hacia el Oeste hasta la calle Vicente Guerrero; continúa en dirección de Norte a Sur, hasta la carretera Metepec-Tenango; finalmente en dirección de Sureste a Noroeste sobre la misma carretera hasta la calle Pedro Ascencio, cerrando en el punto de partida.</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131.-</w:t>
      </w:r>
      <w:r w:rsidRPr="00D54F5D">
        <w:rPr>
          <w:rFonts w:ascii="Palatino Linotype" w:hAnsi="Palatino Linotype"/>
          <w:i/>
          <w:sz w:val="22"/>
          <w:szCs w:val="22"/>
        </w:rPr>
        <w:t xml:space="preserve"> Para los efectos de este ordenamiento se entenderá por:</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II. Comerciante establecido: Persona que realiza una actividad comercial, industrial o de servicios, en un inmueble;</w:t>
      </w:r>
    </w:p>
    <w:p w:rsidR="00B32835" w:rsidRPr="00D54F5D" w:rsidRDefault="00B32835" w:rsidP="00B32835">
      <w:pPr>
        <w:ind w:left="851" w:right="992"/>
        <w:jc w:val="both"/>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132.-</w:t>
      </w:r>
      <w:r w:rsidRPr="00D54F5D">
        <w:rPr>
          <w:rFonts w:ascii="Palatino Linotype" w:hAnsi="Palatino Linotype"/>
          <w:i/>
          <w:sz w:val="22"/>
          <w:szCs w:val="22"/>
        </w:rPr>
        <w:t xml:space="preserve"> </w:t>
      </w:r>
      <w:r w:rsidRPr="00D54F5D">
        <w:rPr>
          <w:rFonts w:ascii="Palatino Linotype" w:hAnsi="Palatino Linotype"/>
          <w:b/>
          <w:i/>
          <w:sz w:val="22"/>
          <w:szCs w:val="22"/>
        </w:rPr>
        <w:t>Toda actividad comercial</w:t>
      </w:r>
      <w:r w:rsidRPr="00D54F5D">
        <w:rPr>
          <w:rFonts w:ascii="Palatino Linotype" w:hAnsi="Palatino Linotype"/>
          <w:i/>
          <w:sz w:val="22"/>
          <w:szCs w:val="22"/>
        </w:rPr>
        <w:t xml:space="preserve">, industrial, de servicios, turística, artesanal, profesional y de eventos públicos, que realicen las personas físicas o jurídico colectivas, </w:t>
      </w:r>
      <w:r w:rsidRPr="00D54F5D">
        <w:rPr>
          <w:rFonts w:ascii="Palatino Linotype" w:hAnsi="Palatino Linotype"/>
          <w:b/>
          <w:i/>
          <w:sz w:val="22"/>
          <w:szCs w:val="22"/>
        </w:rPr>
        <w:t>requiere el otorgamiento previo de la autorización, licencia o permiso respectivo,</w:t>
      </w:r>
      <w:r w:rsidRPr="00D54F5D">
        <w:rPr>
          <w:rFonts w:ascii="Palatino Linotype" w:hAnsi="Palatino Linotype"/>
          <w:i/>
          <w:sz w:val="22"/>
          <w:szCs w:val="22"/>
        </w:rPr>
        <w:t xml:space="preserve"> sujetándose a los reglamentos y ordenamientos federales, estatales y municipales respectivos.</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 xml:space="preserve">ARTÍCULO 133.- </w:t>
      </w:r>
      <w:r w:rsidRPr="00D54F5D">
        <w:rPr>
          <w:rFonts w:ascii="Palatino Linotype" w:hAnsi="Palatino Linotype"/>
          <w:i/>
          <w:sz w:val="22"/>
          <w:szCs w:val="22"/>
        </w:rPr>
        <w:t xml:space="preserve">Las autorizaciones, licencias y </w:t>
      </w:r>
      <w:r w:rsidRPr="00D54F5D">
        <w:rPr>
          <w:rFonts w:ascii="Palatino Linotype" w:hAnsi="Palatino Linotype"/>
          <w:b/>
          <w:i/>
          <w:sz w:val="22"/>
          <w:szCs w:val="22"/>
        </w:rPr>
        <w:t>permisos</w:t>
      </w:r>
      <w:r w:rsidRPr="00D54F5D">
        <w:rPr>
          <w:rFonts w:ascii="Palatino Linotype" w:hAnsi="Palatino Linotype"/>
          <w:i/>
          <w:sz w:val="22"/>
          <w:szCs w:val="22"/>
        </w:rPr>
        <w:t xml:space="preserve"> </w:t>
      </w:r>
      <w:r w:rsidRPr="00D54F5D">
        <w:rPr>
          <w:rFonts w:ascii="Palatino Linotype" w:hAnsi="Palatino Linotype"/>
          <w:b/>
          <w:i/>
          <w:sz w:val="22"/>
          <w:szCs w:val="22"/>
        </w:rPr>
        <w:t>las podrá otorgar la Presidenta Municipal, a través de sus áreas administrativas, organismos y entidades competentes,</w:t>
      </w:r>
      <w:r w:rsidRPr="00D54F5D">
        <w:rPr>
          <w:rFonts w:ascii="Palatino Linotype" w:hAnsi="Palatino Linotype"/>
          <w:i/>
          <w:sz w:val="22"/>
          <w:szCs w:val="22"/>
        </w:rPr>
        <w:t xml:space="preserve"> en términos de las disposiciones jurídicas aplicables, y en los casos que la </w:t>
      </w:r>
      <w:r w:rsidRPr="00D54F5D">
        <w:rPr>
          <w:rFonts w:ascii="Palatino Linotype" w:hAnsi="Palatino Linotype"/>
          <w:b/>
          <w:i/>
          <w:sz w:val="22"/>
          <w:szCs w:val="22"/>
        </w:rPr>
        <w:t>Ley de Competitividad y Ordenamiento Comercial del Estado de México lo determine,</w:t>
      </w:r>
      <w:r w:rsidRPr="00D54F5D">
        <w:rPr>
          <w:rFonts w:ascii="Palatino Linotype" w:hAnsi="Palatino Linotype"/>
          <w:i/>
          <w:sz w:val="22"/>
          <w:szCs w:val="22"/>
        </w:rPr>
        <w:t xml:space="preserve"> </w:t>
      </w:r>
      <w:r w:rsidRPr="00D54F5D">
        <w:rPr>
          <w:rFonts w:ascii="Palatino Linotype" w:hAnsi="Palatino Linotype"/>
          <w:b/>
          <w:i/>
          <w:sz w:val="22"/>
          <w:szCs w:val="22"/>
        </w:rPr>
        <w:t>previo acuerdo del Ayuntamiento.</w:t>
      </w:r>
      <w:r w:rsidRPr="00D54F5D">
        <w:rPr>
          <w:rFonts w:ascii="Palatino Linotype" w:hAnsi="Palatino Linotype"/>
          <w:i/>
          <w:sz w:val="22"/>
          <w:szCs w:val="22"/>
        </w:rPr>
        <w:t xml:space="preserve"> Su gestión podrá efectuarse a través del Centro Municipal de Atención Empresarial o en la página web del municipio.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134.-</w:t>
      </w:r>
      <w:r w:rsidRPr="00D54F5D">
        <w:rPr>
          <w:rFonts w:ascii="Palatino Linotype" w:hAnsi="Palatino Linotype"/>
          <w:i/>
          <w:sz w:val="22"/>
          <w:szCs w:val="22"/>
        </w:rPr>
        <w:t xml:space="preserve"> Para el ejercicio de la actividad comercial, industrial o de servicios, </w:t>
      </w:r>
      <w:r w:rsidRPr="00D54F5D">
        <w:rPr>
          <w:rFonts w:ascii="Palatino Linotype" w:hAnsi="Palatino Linotype"/>
          <w:b/>
          <w:i/>
          <w:sz w:val="22"/>
          <w:szCs w:val="22"/>
        </w:rPr>
        <w:t>se solicitará ante la Ventanilla Única según sea el caso</w:t>
      </w:r>
      <w:r w:rsidRPr="00D54F5D">
        <w:rPr>
          <w:rFonts w:ascii="Palatino Linotype" w:hAnsi="Palatino Linotype"/>
          <w:i/>
          <w:sz w:val="22"/>
          <w:szCs w:val="22"/>
        </w:rPr>
        <w:t>, debiendo cubrir el solicitante los requisitos fiscales, técnicos y administrativos que los ordenamientos aplicables exijan.</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El Ayuntamiento, a través de la Dirección de Desarrollo Económico, Turístico y Artesanal, podrá otorgar licencias de funcionamiento para desarrollar cualquier actividad comercial</w:t>
      </w:r>
      <w:r w:rsidRPr="00D54F5D">
        <w:rPr>
          <w:rFonts w:ascii="Palatino Linotype" w:hAnsi="Palatino Linotype"/>
          <w:i/>
          <w:sz w:val="22"/>
          <w:szCs w:val="22"/>
        </w:rPr>
        <w:t>, industrial o de prestación de servicios. Asimismo, será la dependencia encargada de expedir constancias de productor agrícola y/o pecuario.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La autoridad municipal podrá expedir un permiso provisional por seis meses, mismo que podrá ser renovado por única ocasión, siempre y cuando se compruebe que se están realizando los trámites para la obtención de la licencia del uso del suelo, y no operará para la venta de bebidas alcohólicas en botella cerrada, abierta o al copeo y las que requieran autorización del ayuntamiento.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El permiso provisional será válido durante la vigencia y en los días calendario que especifique. Por ningún motivo podrán renovarse permisos provisionales cuya renovación se haya omitido en el periodo anterior, debiendo el contribuyente reiniciar </w:t>
      </w:r>
      <w:r w:rsidRPr="00D54F5D">
        <w:rPr>
          <w:rFonts w:ascii="Palatino Linotype" w:hAnsi="Palatino Linotype"/>
          <w:i/>
          <w:sz w:val="22"/>
          <w:szCs w:val="22"/>
        </w:rPr>
        <w:lastRenderedPageBreak/>
        <w:t>todo el procedimiento para obtener un nuevo permiso provisional, con todos los requisitos que marca la normatividad vigente en el momento de la nueva solicitud.</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Las unidades económicas destinadas a la enajenación, compra-venta, reparación o mantenimiento de vehículos automotores usados y de autopartes nuevas y usadas, deberán contar con el Dictamen Único de Factibilidad, de acuerdo con lo que establece la Ley de Competitividad y Ordenamiento Comercial del Estado de México, además será requisito indispensable, la aprobación del Ayuntamiento.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La licencia que expida la autoridad municipal otorga al particular únicamente el derecho a ejercer la actividad comercial para la que fue concedida</w:t>
      </w:r>
      <w:r w:rsidRPr="00D54F5D">
        <w:rPr>
          <w:rFonts w:ascii="Palatino Linotype" w:hAnsi="Palatino Linotype"/>
          <w:i/>
          <w:sz w:val="22"/>
          <w:szCs w:val="22"/>
        </w:rPr>
        <w:t>, en la forma y términos expresados en el documento. El cambio de titular, se llevará a cabo mediante cesión de derechos onerosa o gratuita, y ésta deberá ser otorgada ante la Dirección de Desarrollo Económico, Turístico y Artesanal, cubriendo los requisitos estipulados. Será nula cualquier cesión de derechos concerniente a licencias que hayan sido revocadas o caducadas en términos del presente Bando y las demás disposiciones aplicables.</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 xml:space="preserve">La licencia de funcionamiento deberá refrendarse cada año, siempre y cuando las unidades económicas lleven a cabo la actividad comercial de acuerdo a la licencia otorgada. </w:t>
      </w:r>
      <w:r w:rsidRPr="00D54F5D">
        <w:rPr>
          <w:rFonts w:ascii="Palatino Linotype" w:hAnsi="Palatino Linotype"/>
          <w:i/>
          <w:sz w:val="22"/>
          <w:szCs w:val="22"/>
        </w:rPr>
        <w:t>El no ejercicio de la actividad comercial o el no refrendo por más de un año de la licencia, dará lugar a la pérdida de los derechos y en consecuencia a la caducidad de la misma.</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 xml:space="preserve">Para el inicio de operaciones o refrendo de la licencia de funcionamiento, los establecimientos comerciales, industriales o de servicios, así como los de espectáculos o eventos públicos y las instituciones oficiales, deberán obtener el visto bueno de la Coordinación Municipal de Protección Civil y Bomberos. </w:t>
      </w:r>
      <w:r w:rsidRPr="00D54F5D">
        <w:rPr>
          <w:rFonts w:ascii="Palatino Linotype" w:hAnsi="Palatino Linotype"/>
          <w:i/>
          <w:sz w:val="22"/>
          <w:szCs w:val="22"/>
        </w:rPr>
        <w:t>Para los giros de bajo impacto será suficiente la carta responsiva de auto verificación sobre protección civil, firmada por el titular de la licencia de funcionamiento, exclusivamente.</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El refrendo de las licencias para el ejercicio de actividades comerciales, industriales o de servicios, se hará a petición del titular de la misma durante los meses de enero, febrero y marzo de cada año.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En el caso específico de los permisos especiales de temporada que se otorguen para ejercer el comercio en tianguis ocasionales y en la vía pública, la autoridad municipal no podrá renovarlos ni extenderlos más allá de su vigencia, por lo cual habrá de expedir otro permiso, cada vez que a su juicio exista disponibilidad en tiempo, forma y espacio para la operación de este tipo de comercio.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El Catálogo de Giros Comerciales, Industriales y de Servicios de la Dirección de Desarrollo Económico, Turístico y Artesanal, establecerá los requisitos y trámites conforme al Sistema de Apertura Rápida de Empresas (SARE).</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Para incentivar las actividades económicas, la inversión productiva y la generación de empleos, la Dirección de Desarrollo Económico, Turístico y Artesanal otorgará licencias provisionales de funcionamiento para negocios de bajo impacto y bajo riesgo que no impliquen riesgos sanitarios, ambientales o de protección civil, conforme al Catálogo Mexiquense de Actividades Industriales, Comerciales y de Servicios de Bajo Riesgo, por única vez y hasta por un plazo no mayor a noventa días naturales, siempre y cuando el giro o actividad económica de que se trate, sea de las permitidas por la Ley Orgánica, la Ley de Competitividad y Ordenamiento Comercial del Estado de México, el Plan Municipal de Desarrollo Urbano y conforme a la cédula informativa de zonificación que al efecto emita la Dirección de Desarrollo Urbano y Metropolitano, con excepción de giros que sean de competencia estatal.</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El otorgamiento de la licencia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rsidR="00B32835" w:rsidRPr="00D54F5D" w:rsidRDefault="00B32835" w:rsidP="00B32835">
      <w:pPr>
        <w:ind w:left="851" w:right="992"/>
        <w:jc w:val="both"/>
        <w:rPr>
          <w:rFonts w:ascii="Palatino Linotype" w:hAnsi="Palatino Linotype"/>
          <w:b/>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ARTÍCULO 135.-</w:t>
      </w:r>
      <w:r w:rsidRPr="00D54F5D">
        <w:rPr>
          <w:rFonts w:ascii="Palatino Linotype" w:hAnsi="Palatino Linotype"/>
          <w:i/>
          <w:sz w:val="22"/>
          <w:szCs w:val="22"/>
        </w:rPr>
        <w:t>Se requiere autorización, licencia o permiso previo de la autoridad municipal para los siguientes casos:</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IX. Unidades Económicas donde operen aparatos de sonido, música en vivo, o cualquier otro tipo de establecimiento o actividad que genere elevados niveles de ruido mayores a los que marca la normatividad oficial; y</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ARTÍCULO143.-No se otorgará permiso, licencia o autorización alguna para el funcionamiento de las siguientes actividades comerciales:</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I. Centros cerveceros o similares, entendiéndose por éstos los establecimientos ubicados en inmuebles no edificados como local comercial</w:t>
      </w:r>
      <w:r w:rsidRPr="00D54F5D">
        <w:rPr>
          <w:rFonts w:ascii="Palatino Linotype" w:hAnsi="Palatino Linotype"/>
          <w:i/>
          <w:sz w:val="22"/>
          <w:szCs w:val="22"/>
        </w:rPr>
        <w:t>, dedicados a la venta de bebidas alcohólicas en botella abierta para su consumo inmediato;</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ARTÍCULO 144.-Queda prohibido a los establecimientos dedicados a la venta de bebidas alcohólicas, lo siguiente:</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lastRenderedPageBreak/>
        <w:t xml:space="preserve">I. </w:t>
      </w:r>
      <w:r w:rsidRPr="00D54F5D">
        <w:rPr>
          <w:rFonts w:ascii="Palatino Linotype" w:hAnsi="Palatino Linotype"/>
          <w:b/>
          <w:i/>
          <w:sz w:val="22"/>
          <w:szCs w:val="22"/>
        </w:rPr>
        <w:t>Permitir, tolerar o consentir la venta, suministro o consumo de bebidas alcohólicas a menores de edad e incapaces;</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II. Llevar a cabo concursos, promociones o cualquier tipo de ofertas o prácticas comerciales mediante las cuales se ofrezcan reconocimientos, premios, descuentos o cualquier tipo de incentivo en función del volumen de consumo de bebidas alcohólicas; y</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 xml:space="preserve">III. </w:t>
      </w:r>
      <w:r w:rsidRPr="00D54F5D">
        <w:rPr>
          <w:rFonts w:ascii="Palatino Linotype" w:hAnsi="Palatino Linotype"/>
          <w:b/>
          <w:i/>
          <w:sz w:val="22"/>
          <w:szCs w:val="22"/>
        </w:rPr>
        <w:t>Servir o vender bebidas alcohólicas a personas que se encuentren en evidente estado de ebriedad</w:t>
      </w: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ARTÍCULO 148.-</w:t>
      </w:r>
      <w:r w:rsidRPr="00D54F5D">
        <w:rPr>
          <w:rFonts w:ascii="Palatino Linotype" w:hAnsi="Palatino Linotype"/>
          <w:i/>
          <w:sz w:val="22"/>
          <w:szCs w:val="22"/>
        </w:rPr>
        <w:t xml:space="preserve"> </w:t>
      </w:r>
      <w:r w:rsidRPr="00D54F5D">
        <w:rPr>
          <w:rFonts w:ascii="Palatino Linotype" w:hAnsi="Palatino Linotype"/>
          <w:b/>
          <w:i/>
          <w:sz w:val="22"/>
          <w:szCs w:val="22"/>
        </w:rPr>
        <w:t>Los establecimientos que desarrollen cualquier actividad mercantil, son de tipo:</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III. DE DIVERSIÓN Y DE ESPECTÁCULOS PÚBLICOS:</w:t>
      </w:r>
      <w:r w:rsidRPr="00D54F5D">
        <w:rPr>
          <w:rFonts w:ascii="Palatino Linotype" w:hAnsi="Palatino Linotype"/>
          <w:i/>
          <w:sz w:val="22"/>
          <w:szCs w:val="22"/>
        </w:rPr>
        <w:t xml:space="preserve"> de forma enunciativa más no limitativa, quedan comprendidos en este rubro los siguientes: </w:t>
      </w:r>
      <w:r w:rsidRPr="00D54F5D">
        <w:rPr>
          <w:rFonts w:ascii="Palatino Linotype" w:hAnsi="Palatino Linotype"/>
          <w:b/>
          <w:i/>
          <w:sz w:val="22"/>
          <w:szCs w:val="22"/>
        </w:rPr>
        <w:t>billares, video-bares, salones y jardines de fiesta, discotecas y puestos provisionales en ferias.</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b/>
          <w:i/>
          <w:sz w:val="22"/>
          <w:szCs w:val="22"/>
        </w:rPr>
        <w:t>Los establecimientos comprendidos anteriormente que tengan autorizada la venta y/o suministro de bebidas alcohólicas, será única y exclusivamente con alimentos.</w:t>
      </w:r>
      <w:r w:rsidRPr="00D54F5D">
        <w:rPr>
          <w:rFonts w:ascii="Palatino Linotype" w:hAnsi="Palatino Linotype"/>
          <w:i/>
          <w:sz w:val="22"/>
          <w:szCs w:val="22"/>
        </w:rPr>
        <w:t xml:space="preserve"> Se exceptúa de esta obligación a los bares, cantinas y pulquerías.</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w:t>
      </w:r>
    </w:p>
    <w:p w:rsidR="00B32835" w:rsidRPr="00D54F5D" w:rsidRDefault="00B32835" w:rsidP="00B32835">
      <w:pPr>
        <w:ind w:left="851" w:right="992"/>
        <w:jc w:val="both"/>
        <w:rPr>
          <w:rFonts w:ascii="Palatino Linotype" w:hAnsi="Palatino Linotype"/>
          <w:b/>
          <w:i/>
          <w:sz w:val="22"/>
          <w:szCs w:val="22"/>
        </w:rPr>
      </w:pPr>
      <w:r w:rsidRPr="00D54F5D">
        <w:rPr>
          <w:rFonts w:ascii="Palatino Linotype" w:hAnsi="Palatino Linotype"/>
          <w:b/>
          <w:i/>
          <w:sz w:val="22"/>
          <w:szCs w:val="22"/>
        </w:rPr>
        <w:t>ARTÍCULO 150.-</w:t>
      </w:r>
      <w:r w:rsidRPr="00D54F5D">
        <w:rPr>
          <w:rFonts w:ascii="Palatino Linotype" w:hAnsi="Palatino Linotype"/>
          <w:i/>
          <w:sz w:val="22"/>
          <w:szCs w:val="22"/>
        </w:rPr>
        <w:t xml:space="preserve"> </w:t>
      </w:r>
      <w:r w:rsidRPr="00D54F5D">
        <w:rPr>
          <w:rFonts w:ascii="Palatino Linotype" w:hAnsi="Palatino Linotype"/>
          <w:b/>
          <w:i/>
          <w:sz w:val="22"/>
          <w:szCs w:val="22"/>
        </w:rPr>
        <w:t>Se prohíbe y serán motivo de clausura del establecimiento y cancelación de la licencia, los siguientes eventos:</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I. La venta de bebidas alcohólicas, en su modalidad de barra libre en bares, cantinas, restaurantes-bar, discotecas, así como establecimientos con autorización de pistas de baile;</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II. Que los establecimientos con licencia o autorización para expender bebidas alcohólicas permitan que los particulares ingresen al local con este tipo de bebidas que no hayan sido adquiridas en el lugar; y</w:t>
      </w: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III. Que los establecimientos con licencia o autorización para vender, suministrar y/o distribuir bebidas alcohólicas, expendan bebidas adulteradas, o contaminadas, independientemente de las sanciones a que se hagan acreedores en otras disposiciones, por lo que la propia autoridad municipal lo hará del conocimiento de las autoridades correspondientes.</w:t>
      </w:r>
    </w:p>
    <w:p w:rsidR="00B32835" w:rsidRPr="00D54F5D" w:rsidRDefault="00B32835" w:rsidP="00B32835">
      <w:pPr>
        <w:ind w:left="851" w:right="992"/>
        <w:jc w:val="both"/>
        <w:rPr>
          <w:rFonts w:ascii="Palatino Linotype" w:hAnsi="Palatino Linotype"/>
          <w:i/>
          <w:sz w:val="22"/>
          <w:szCs w:val="22"/>
        </w:rPr>
      </w:pPr>
    </w:p>
    <w:p w:rsidR="00B32835" w:rsidRPr="00D54F5D" w:rsidRDefault="00B32835" w:rsidP="00B32835">
      <w:pPr>
        <w:ind w:left="851" w:right="992"/>
        <w:jc w:val="both"/>
        <w:rPr>
          <w:rFonts w:ascii="Palatino Linotype" w:hAnsi="Palatino Linotype"/>
          <w:i/>
          <w:sz w:val="22"/>
          <w:szCs w:val="22"/>
        </w:rPr>
      </w:pPr>
      <w:r w:rsidRPr="00D54F5D">
        <w:rPr>
          <w:rFonts w:ascii="Palatino Linotype" w:hAnsi="Palatino Linotype"/>
          <w:i/>
          <w:sz w:val="22"/>
          <w:szCs w:val="22"/>
        </w:rPr>
        <w:t>(Énfasis añadido)</w:t>
      </w:r>
    </w:p>
    <w:p w:rsidR="00B32835" w:rsidRPr="00D54F5D" w:rsidRDefault="00B32835" w:rsidP="00B328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4F5D">
        <w:rPr>
          <w:rFonts w:ascii="Palatino Linotype" w:eastAsia="Calibri" w:hAnsi="Palatino Linotype" w:cs="Arial"/>
        </w:rPr>
        <w:t>De la normativa inserta, se arribó a las conclusiones siguientes:</w:t>
      </w:r>
    </w:p>
    <w:p w:rsidR="00B32835" w:rsidRPr="00D54F5D" w:rsidRDefault="00B32835" w:rsidP="00B3283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eastAsia="Calibri" w:hAnsi="Palatino Linotype" w:cs="Arial"/>
        </w:rPr>
      </w:pPr>
      <w:r w:rsidRPr="00D54F5D">
        <w:rPr>
          <w:rFonts w:ascii="Palatino Linotype" w:eastAsia="Calibri" w:hAnsi="Palatino Linotype" w:cs="Arial"/>
        </w:rPr>
        <w:t xml:space="preserve">Que, la Ley de Ingresos de los Municipios del Estado de México </w:t>
      </w:r>
      <w:r w:rsidRPr="00D54F5D">
        <w:rPr>
          <w:rFonts w:ascii="Palatino Linotype" w:hAnsi="Palatino Linotype"/>
        </w:rPr>
        <w:t xml:space="preserve">para el ejercicio </w:t>
      </w:r>
      <w:r w:rsidRPr="00D54F5D">
        <w:rPr>
          <w:rFonts w:ascii="Palatino Linotype" w:hAnsi="Palatino Linotype"/>
        </w:rPr>
        <w:lastRenderedPageBreak/>
        <w:t>fiscal del año 2019, establece como un derecho de estos, el aprovechamiento económico que reciban por la expedición o refrendo anual de licencias y permisos específicamente para la venta de bebidas alcohólicas al público.</w:t>
      </w:r>
    </w:p>
    <w:p w:rsidR="00B32835" w:rsidRPr="00D54F5D" w:rsidRDefault="00B32835" w:rsidP="00B3283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i/>
          <w:sz w:val="22"/>
          <w:szCs w:val="22"/>
        </w:rPr>
      </w:pPr>
      <w:r w:rsidRPr="00D54F5D">
        <w:rPr>
          <w:rFonts w:ascii="Palatino Linotype" w:hAnsi="Palatino Linotype"/>
        </w:rPr>
        <w:t xml:space="preserve"> Que la Cabecera Municipal, denominada “Ciudad Típica de Metepec”, se compone de 6 barrios de los cuales, se puede advertir el nombre de las calles que los componen y territorialmente hablando, comprenden lo que el particular en su solicitud de información señaló como el centro histórico del Municipio.</w:t>
      </w:r>
    </w:p>
    <w:p w:rsidR="00B32835" w:rsidRPr="00D54F5D" w:rsidRDefault="00B32835" w:rsidP="00B3283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i/>
          <w:sz w:val="22"/>
          <w:szCs w:val="22"/>
        </w:rPr>
      </w:pPr>
      <w:r w:rsidRPr="00D54F5D">
        <w:rPr>
          <w:rFonts w:ascii="Palatino Linotype" w:hAnsi="Palatino Linotype"/>
        </w:rPr>
        <w:t xml:space="preserve">Que de conformidad con lo anterior, </w:t>
      </w:r>
      <w:r w:rsidRPr="00D54F5D">
        <w:rPr>
          <w:rFonts w:ascii="Palatino Linotype" w:hAnsi="Palatino Linotype"/>
          <w:b/>
        </w:rPr>
        <w:t xml:space="preserve">EL SUJETO OBLIGADO </w:t>
      </w:r>
      <w:r w:rsidRPr="00D54F5D">
        <w:rPr>
          <w:rFonts w:ascii="Palatino Linotype" w:hAnsi="Palatino Linotype"/>
        </w:rPr>
        <w:t>deberá hacer entrega de las Licencias o permisos provisionales con que cuenten los establecimientos comerciales que se encuentren en los seis barrios que integran la denominada “Ciudad Típica de Metepec”.</w:t>
      </w:r>
    </w:p>
    <w:p w:rsidR="00B32835" w:rsidRPr="00D54F5D" w:rsidRDefault="00B32835" w:rsidP="00B3283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i/>
          <w:sz w:val="22"/>
          <w:szCs w:val="22"/>
        </w:rPr>
      </w:pPr>
      <w:r w:rsidRPr="00D54F5D">
        <w:rPr>
          <w:rFonts w:ascii="Palatino Linotype" w:hAnsi="Palatino Linotype"/>
        </w:rPr>
        <w:t>Que toda actividad comercial que realicen personas físicas o jurídico colectivas, requiere el otorgamiento previo a la licencia de un permiso debiendo ser expedido de conformidad con los ordenamientos respectivos.</w:t>
      </w:r>
    </w:p>
    <w:p w:rsidR="00B32835" w:rsidRPr="00D54F5D" w:rsidRDefault="00B32835" w:rsidP="00B3283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i/>
          <w:sz w:val="22"/>
          <w:szCs w:val="22"/>
        </w:rPr>
      </w:pPr>
      <w:r w:rsidRPr="00D54F5D">
        <w:rPr>
          <w:rFonts w:ascii="Palatino Linotype" w:hAnsi="Palatino Linotype"/>
        </w:rPr>
        <w:t>Que las autorizaciones, licencias y permisos los otorga el Presidente Municipal a través del área administrativa correspondiente, en este caso mediante la Dirección de Desarrollo Económico, Turístico y Artesanal.</w:t>
      </w:r>
    </w:p>
    <w:p w:rsidR="00B32835" w:rsidRPr="00D54F5D" w:rsidRDefault="00B32835" w:rsidP="001F1E55">
      <w:pPr>
        <w:pStyle w:val="Prrafodelista"/>
        <w:widowControl w:val="0"/>
        <w:numPr>
          <w:ilvl w:val="0"/>
          <w:numId w:val="1"/>
        </w:numPr>
        <w:autoSpaceDE w:val="0"/>
        <w:autoSpaceDN w:val="0"/>
        <w:adjustRightInd w:val="0"/>
        <w:spacing w:before="100" w:beforeAutospacing="1" w:after="100" w:afterAutospacing="1" w:line="360" w:lineRule="auto"/>
        <w:jc w:val="both"/>
        <w:rPr>
          <w:rFonts w:ascii="Palatino Linotype" w:hAnsi="Palatino Linotype"/>
        </w:rPr>
      </w:pPr>
      <w:r w:rsidRPr="00D54F5D">
        <w:rPr>
          <w:rFonts w:ascii="Palatino Linotype" w:hAnsi="Palatino Linotype"/>
        </w:rPr>
        <w:t xml:space="preserve">Que los establecimientos que desarrollen cualquier actividad mercantil serán entre otros los de tipo diversión y espectáculos públicos, </w:t>
      </w:r>
      <w:r w:rsidRPr="00D54F5D">
        <w:rPr>
          <w:rFonts w:ascii="Palatino Linotype" w:hAnsi="Palatino Linotype"/>
          <w:b/>
        </w:rPr>
        <w:t>donde manera enunciativa mas no limitativa se encuentran los billares, video-bares, salones y jardines de fiesta, discotecas y puestos provisionales en ferias</w:t>
      </w:r>
      <w:r w:rsidRPr="00D54F5D">
        <w:rPr>
          <w:rFonts w:ascii="Palatino Linotype" w:hAnsi="Palatino Linotype"/>
        </w:rPr>
        <w:t xml:space="preserve">; siendo </w:t>
      </w:r>
      <w:r w:rsidR="00017760" w:rsidRPr="00D54F5D">
        <w:rPr>
          <w:rFonts w:ascii="Palatino Linotype" w:hAnsi="Palatino Linotype"/>
        </w:rPr>
        <w:t xml:space="preserve">importante destacar que de conformidad con lo establecido en los artículos 13 y 181, párrafo cuarto de la Ley de la materia; se determina suplir la deficiencia en la solicitud, ya que el particular no es experto; sin embargo, </w:t>
      </w:r>
      <w:r w:rsidR="00017760" w:rsidRPr="00D54F5D">
        <w:rPr>
          <w:rFonts w:ascii="Palatino Linotype" w:hAnsi="Palatino Linotype"/>
          <w:b/>
        </w:rPr>
        <w:t xml:space="preserve">EL SUJETO OBLIGADO </w:t>
      </w:r>
      <w:r w:rsidR="00017760" w:rsidRPr="00D54F5D">
        <w:rPr>
          <w:rFonts w:ascii="Palatino Linotype" w:hAnsi="Palatino Linotype"/>
        </w:rPr>
        <w:t xml:space="preserve">deberá hacer entrega de la información solicitada, relacionada con </w:t>
      </w:r>
      <w:r w:rsidRPr="00D54F5D">
        <w:rPr>
          <w:rFonts w:ascii="Palatino Linotype" w:hAnsi="Palatino Linotype"/>
        </w:rPr>
        <w:lastRenderedPageBreak/>
        <w:t xml:space="preserve">este tipo de establecimientos </w:t>
      </w:r>
      <w:r w:rsidR="00017760" w:rsidRPr="00D54F5D">
        <w:rPr>
          <w:rFonts w:ascii="Palatino Linotype" w:hAnsi="Palatino Linotype"/>
        </w:rPr>
        <w:t xml:space="preserve">ya que son de los cuales </w:t>
      </w:r>
      <w:r w:rsidRPr="00D54F5D">
        <w:rPr>
          <w:rFonts w:ascii="Palatino Linotype" w:hAnsi="Palatino Linotype"/>
        </w:rPr>
        <w:t xml:space="preserve">el hoy </w:t>
      </w:r>
      <w:r w:rsidRPr="00D54F5D">
        <w:rPr>
          <w:rFonts w:ascii="Palatino Linotype" w:hAnsi="Palatino Linotype"/>
          <w:b/>
        </w:rPr>
        <w:t>RECURRENTE</w:t>
      </w:r>
      <w:r w:rsidRPr="00D54F5D">
        <w:rPr>
          <w:rFonts w:ascii="Palatino Linotype" w:hAnsi="Palatino Linotype"/>
        </w:rPr>
        <w:t xml:space="preserve"> </w:t>
      </w:r>
      <w:r w:rsidR="00017760" w:rsidRPr="00D54F5D">
        <w:rPr>
          <w:rFonts w:ascii="Palatino Linotype" w:hAnsi="Palatino Linotype"/>
        </w:rPr>
        <w:t>desea obtener las licencias o permisos con que cuenten del 1 de enero de 2016 al 1 de abril de 2019.</w:t>
      </w:r>
    </w:p>
    <w:p w:rsidR="00017760" w:rsidRPr="00D54F5D" w:rsidRDefault="00017760" w:rsidP="00017760">
      <w:pPr>
        <w:spacing w:before="100" w:beforeAutospacing="1" w:after="100" w:afterAutospacing="1" w:line="360" w:lineRule="auto"/>
        <w:jc w:val="both"/>
        <w:rPr>
          <w:rFonts w:ascii="Palatino Linotype" w:eastAsia="Arial Unicode MS" w:hAnsi="Palatino Linotype" w:cs="Arial"/>
        </w:rPr>
      </w:pPr>
      <w:r w:rsidRPr="00D54F5D">
        <w:rPr>
          <w:rFonts w:ascii="Palatino Linotype" w:hAnsi="Palatino Linotype" w:cs="Arial"/>
          <w:color w:val="000000"/>
        </w:rPr>
        <w:t xml:space="preserve">Atento a lo anterior, no se omite comentar que si bien lo solicitado por la particular, contempla información que fue generada por </w:t>
      </w:r>
      <w:r w:rsidRPr="00D54F5D">
        <w:rPr>
          <w:rFonts w:ascii="Palatino Linotype" w:hAnsi="Palatino Linotype"/>
        </w:rPr>
        <w:t>administraciones anteriores, ello no impide la búsqueda y localización conforme lo establecido en la Ley de Documentos Administrativos e Históricos del Estado de México, en específico los artículos 2</w:t>
      </w:r>
      <w:r w:rsidRPr="00D54F5D">
        <w:rPr>
          <w:rFonts w:ascii="Palatino Linotype" w:eastAsia="Arial Unicode MS" w:hAnsi="Palatino Linotype" w:cs="Arial"/>
        </w:rPr>
        <w:t>, 18, y 19 de la Ley de Documentos Administrativos e Históricos del Estado de México, los cuales establecen lo siguiente:</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b/>
          <w:i/>
          <w:sz w:val="22"/>
          <w:szCs w:val="22"/>
        </w:rPr>
        <w:t>“Artículo 2.</w:t>
      </w:r>
      <w:r w:rsidRPr="00D54F5D">
        <w:rPr>
          <w:rFonts w:ascii="Palatino Linotype" w:eastAsia="Arial Unicode MS" w:hAnsi="Palatino Linotype" w:cs="Arial"/>
          <w:i/>
          <w:sz w:val="22"/>
          <w:szCs w:val="22"/>
        </w:rPr>
        <w:t xml:space="preserve"> Para los efectos de esta Ley, se entiende por Administración de Documentos:</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a) Los actos tendientes a inventariar, regular, coordinar y dinamizar el funcionamiento y uso de los documentos existentes en los Archivos Administrativos e Históricos de los Poderes del Estado, Municipios y Organismos Auxiliares y en su caso, los que posean particulares.</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 xml:space="preserve">b) Los actos que se realicen para generar, recibir, mantener, custodiar, reconstruir, depurar o destruir Documentos Administrativos o Históricos, que por su importancia sean fuentes esenciales de información acerca del pasado y presente de la vida institucional del Estado. </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b/>
          <w:i/>
          <w:sz w:val="22"/>
          <w:szCs w:val="22"/>
        </w:rPr>
        <w:t>Artículo 18.</w:t>
      </w:r>
      <w:r w:rsidRPr="00D54F5D">
        <w:rPr>
          <w:rFonts w:ascii="Palatino Linotype" w:eastAsia="Arial Unicode MS" w:hAnsi="Palatino Linotype" w:cs="Arial"/>
          <w:i/>
          <w:sz w:val="22"/>
          <w:szCs w:val="22"/>
        </w:rPr>
        <w:t xml:space="preserve"> El Archivo Municipal se integrará por todos aquellos documentos que en cada trienio se hubieren administrado, así como de aquellos emitidos o que emitan el Poder Ejecutivo o cualquier otra autoridad y los particulares.</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b/>
          <w:i/>
          <w:sz w:val="22"/>
          <w:szCs w:val="22"/>
        </w:rPr>
        <w:t>Artículo 19.</w:t>
      </w:r>
      <w:r w:rsidRPr="00D54F5D">
        <w:rPr>
          <w:rFonts w:ascii="Palatino Linotype" w:eastAsia="Arial Unicode MS" w:hAnsi="Palatino Linotype" w:cs="Arial"/>
          <w:i/>
          <w:sz w:val="22"/>
          <w:szCs w:val="22"/>
        </w:rPr>
        <w:t xml:space="preserve"> El Archivo Municipal estará bajo la responsabilidad del Secretario del Ayuntamiento y tendrá las siguientes funciones:</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a) Recibir la documentación, procediendo a su organización y resguardo.</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b) Establecer una identificación, clasificación y catalogación de documentos a fin de que se proporcione el servicio de consulta con la debida oportunidad y eficacia.</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c) Establecerá nexos operativos con el Archivo General del Poder Ejecutivo y el Archivo Histórico del Estado, para efectos de clasificación, catalogación y depuración de documentos.</w:t>
      </w:r>
    </w:p>
    <w:p w:rsidR="00017760" w:rsidRPr="00D54F5D" w:rsidRDefault="00017760" w:rsidP="00017760">
      <w:pPr>
        <w:ind w:left="851" w:right="901"/>
        <w:jc w:val="both"/>
        <w:rPr>
          <w:rFonts w:ascii="Palatino Linotype" w:eastAsia="Arial Unicode MS" w:hAnsi="Palatino Linotype" w:cs="Arial"/>
          <w:i/>
          <w:sz w:val="22"/>
          <w:szCs w:val="22"/>
        </w:rPr>
      </w:pPr>
      <w:r w:rsidRPr="00D54F5D">
        <w:rPr>
          <w:rFonts w:ascii="Palatino Linotype" w:eastAsia="Arial Unicode MS" w:hAnsi="Palatino Linotype" w:cs="Arial"/>
          <w:i/>
          <w:sz w:val="22"/>
          <w:szCs w:val="22"/>
        </w:rPr>
        <w:t xml:space="preserve">d) Se procurará utilizar técnicas especializadas en archivonomía, reproducción y conservación de documentos, cuando éstos contengan materias de interés </w:t>
      </w:r>
      <w:r w:rsidRPr="00D54F5D">
        <w:rPr>
          <w:rFonts w:ascii="Palatino Linotype" w:eastAsia="Arial Unicode MS" w:hAnsi="Palatino Linotype" w:cs="Arial"/>
          <w:i/>
          <w:sz w:val="22"/>
          <w:szCs w:val="22"/>
        </w:rPr>
        <w:lastRenderedPageBreak/>
        <w:t>administrativo general, histórico, institucional, o bien, para efectos de seguridad, sustitución de documentos o facilidad de consulta.</w:t>
      </w:r>
    </w:p>
    <w:p w:rsidR="00017760" w:rsidRPr="00D54F5D" w:rsidRDefault="00017760" w:rsidP="00017760">
      <w:pPr>
        <w:ind w:left="851" w:right="901"/>
        <w:jc w:val="both"/>
        <w:rPr>
          <w:rFonts w:ascii="Palatino Linotype" w:eastAsia="Arial Unicode MS" w:hAnsi="Palatino Linotype" w:cs="Arial"/>
          <w:b/>
          <w:i/>
          <w:sz w:val="22"/>
          <w:szCs w:val="22"/>
        </w:rPr>
      </w:pPr>
      <w:r w:rsidRPr="00D54F5D">
        <w:rPr>
          <w:rFonts w:ascii="Palatino Linotype" w:eastAsia="Arial Unicode MS" w:hAnsi="Palatino Linotype" w:cs="Arial"/>
          <w:i/>
          <w:sz w:val="22"/>
          <w:szCs w:val="22"/>
        </w:rPr>
        <w:t>e) Establecerá nexos de coordinación con el Archivo General del Poder Ejecutivo, para efecto de producir y publicar información de interés general.</w:t>
      </w:r>
      <w:r w:rsidRPr="00D54F5D">
        <w:rPr>
          <w:rFonts w:ascii="Palatino Linotype" w:eastAsia="Arial Unicode MS" w:hAnsi="Palatino Linotype" w:cs="Arial"/>
          <w:b/>
          <w:i/>
          <w:sz w:val="22"/>
          <w:szCs w:val="22"/>
        </w:rPr>
        <w:t>”</w:t>
      </w:r>
    </w:p>
    <w:p w:rsidR="00017760" w:rsidRPr="00D54F5D" w:rsidRDefault="00017760" w:rsidP="00017760">
      <w:pPr>
        <w:ind w:left="851" w:right="901"/>
        <w:jc w:val="both"/>
        <w:rPr>
          <w:rFonts w:ascii="Palatino Linotype" w:eastAsia="Arial Unicode MS" w:hAnsi="Palatino Linotype" w:cs="Arial"/>
          <w:i/>
          <w:sz w:val="22"/>
          <w:szCs w:val="22"/>
        </w:rPr>
      </w:pPr>
    </w:p>
    <w:p w:rsidR="00017760" w:rsidRPr="00D54F5D" w:rsidRDefault="00017760" w:rsidP="00017760">
      <w:pPr>
        <w:spacing w:before="100" w:beforeAutospacing="1" w:after="100" w:afterAutospacing="1" w:line="360" w:lineRule="auto"/>
        <w:jc w:val="both"/>
        <w:rPr>
          <w:rFonts w:ascii="Palatino Linotype" w:eastAsia="Arial Unicode MS" w:hAnsi="Palatino Linotype" w:cs="Arial"/>
        </w:rPr>
      </w:pPr>
      <w:r w:rsidRPr="00D54F5D">
        <w:rPr>
          <w:rFonts w:ascii="Palatino Linotype" w:eastAsia="Arial Unicode MS" w:hAnsi="Palatino Linotype" w:cs="Arial"/>
        </w:rPr>
        <w:t>De la interpretación sistemática a los preceptos legales que anteceden, se puede afirmar que la administración de documentos es aquella tendente a inventariar, regular, coordinar y dinamizar el funcionamiento y uso de los documentos existentes en los archivos administrativos e históricos entre otras dependencias, de los Municipios.</w:t>
      </w:r>
    </w:p>
    <w:p w:rsidR="00017760" w:rsidRPr="00D54F5D" w:rsidRDefault="00017760" w:rsidP="00017760">
      <w:pPr>
        <w:spacing w:before="100" w:beforeAutospacing="1" w:after="100" w:afterAutospacing="1" w:line="360" w:lineRule="auto"/>
        <w:jc w:val="both"/>
        <w:rPr>
          <w:rFonts w:ascii="Palatino Linotype" w:eastAsia="Arial Unicode MS" w:hAnsi="Palatino Linotype" w:cs="Arial"/>
        </w:rPr>
      </w:pPr>
      <w:r w:rsidRPr="00D54F5D">
        <w:rPr>
          <w:rFonts w:ascii="Palatino Linotype" w:eastAsia="Arial Unicode MS" w:hAnsi="Palatino Linotype" w:cs="Arial"/>
        </w:rPr>
        <w:t xml:space="preserve">El archivo municipal se integra por aquellos documentos generados en cada trienio y está bajo la responsabilidad del </w:t>
      </w:r>
      <w:r w:rsidRPr="00D54F5D">
        <w:rPr>
          <w:rFonts w:ascii="Palatino Linotype" w:eastAsia="Arial Unicode MS" w:hAnsi="Palatino Linotype" w:cs="Arial"/>
          <w:b/>
        </w:rPr>
        <w:t>Secretario del Ayuntamiento</w:t>
      </w:r>
      <w:r w:rsidRPr="00D54F5D">
        <w:rPr>
          <w:rFonts w:ascii="Palatino Linotype" w:eastAsia="Arial Unicode MS" w:hAnsi="Palatino Linotype" w:cs="Arial"/>
        </w:rPr>
        <w:t>, quien tiene entre sus funciones recibir, organizar y resguardar la documentación, para tal efecto establece una identificación, clasificación y catalogación de aquéllos.</w:t>
      </w:r>
    </w:p>
    <w:p w:rsidR="00017760" w:rsidRPr="00D54F5D" w:rsidRDefault="00017760" w:rsidP="00017760">
      <w:pPr>
        <w:spacing w:before="100" w:beforeAutospacing="1" w:after="100" w:afterAutospacing="1" w:line="360" w:lineRule="auto"/>
        <w:jc w:val="both"/>
        <w:rPr>
          <w:rFonts w:ascii="Palatino Linotype" w:eastAsia="Arial Unicode MS" w:hAnsi="Palatino Linotype" w:cs="Arial"/>
        </w:rPr>
      </w:pPr>
      <w:r w:rsidRPr="00D54F5D">
        <w:rPr>
          <w:rFonts w:ascii="Palatino Linotype" w:eastAsia="Arial Unicode MS" w:hAnsi="Palatino Linotype" w:cs="Arial"/>
        </w:rPr>
        <w:t>En suma, una de las razones que justifican la existencia de los archivos municipales, es el resguardo de los documentos generados por trienios anteriores, pues es a donde se envían. De lo anterior, se concluye que si bien la información solicitada, corresponde también a la generada en administraciones anteriores; ello no constituye razón suficiente que impida la entrega de los documentos requeridos por el particular, pues los mismos,  se deben encontrar en el archivo municipal, lugar donde se resguardar los documentos generados en administraciones municipales anteriores.</w:t>
      </w:r>
    </w:p>
    <w:p w:rsidR="0061521D" w:rsidRPr="00D54F5D" w:rsidRDefault="00017760" w:rsidP="0061521D">
      <w:pPr>
        <w:spacing w:before="100" w:beforeAutospacing="1" w:after="100" w:afterAutospacing="1" w:line="360" w:lineRule="auto"/>
        <w:jc w:val="both"/>
        <w:rPr>
          <w:rFonts w:ascii="Palatino Linotype" w:hAnsi="Palatino Linotype" w:cs="Arial"/>
          <w:color w:val="000000"/>
        </w:rPr>
      </w:pPr>
      <w:r w:rsidRPr="00D54F5D">
        <w:rPr>
          <w:rFonts w:ascii="Palatino Linotype" w:hAnsi="Palatino Linotype" w:cs="Arial"/>
          <w:color w:val="000000"/>
        </w:rPr>
        <w:t xml:space="preserve">Es así que, derivado que al </w:t>
      </w:r>
      <w:r w:rsidRPr="00D54F5D">
        <w:rPr>
          <w:rFonts w:ascii="Palatino Linotype" w:hAnsi="Palatino Linotype" w:cs="Arial"/>
          <w:b/>
          <w:color w:val="000000"/>
        </w:rPr>
        <w:t xml:space="preserve">SUJETO OBLIGADO </w:t>
      </w:r>
      <w:r w:rsidRPr="00D54F5D">
        <w:rPr>
          <w:rFonts w:ascii="Palatino Linotype" w:hAnsi="Palatino Linotype" w:cs="Arial"/>
          <w:color w:val="000000"/>
        </w:rPr>
        <w:t>le corresponde</w:t>
      </w:r>
      <w:r w:rsidRPr="00D54F5D">
        <w:rPr>
          <w:rFonts w:ascii="Palatino Linotype" w:hAnsi="Palatino Linotype" w:cs="Arial"/>
          <w:b/>
          <w:color w:val="000000"/>
        </w:rPr>
        <w:t>,</w:t>
      </w:r>
      <w:r w:rsidRPr="00D54F5D">
        <w:rPr>
          <w:rFonts w:ascii="Palatino Linotype" w:hAnsi="Palatino Linotype" w:cs="Arial"/>
          <w:color w:val="000000"/>
        </w:rPr>
        <w:t xml:space="preserve"> el otorgamiento de licencias, permisos o autorizaciones para ejercer actividades comerciales, este Órgano Garante determina ordenar la entrega de los otorgados a los establecimientos </w:t>
      </w:r>
      <w:r w:rsidR="0061521D" w:rsidRPr="00D54F5D">
        <w:rPr>
          <w:rFonts w:ascii="Palatino Linotype" w:hAnsi="Palatino Linotype" w:cs="Arial"/>
          <w:color w:val="000000"/>
        </w:rPr>
        <w:t>con actividad mercantil de tipo “diversión y espectáculos públicos”, del 1 de ener</w:t>
      </w:r>
      <w:r w:rsidR="00EA03C6" w:rsidRPr="00D54F5D">
        <w:rPr>
          <w:rFonts w:ascii="Palatino Linotype" w:hAnsi="Palatino Linotype" w:cs="Arial"/>
          <w:color w:val="000000"/>
        </w:rPr>
        <w:t>o de 2016 al 1 de abril de 2019, en versión pública.</w:t>
      </w:r>
    </w:p>
    <w:p w:rsidR="0061521D" w:rsidRPr="00D54F5D" w:rsidRDefault="0061521D" w:rsidP="0061521D">
      <w:pPr>
        <w:tabs>
          <w:tab w:val="left" w:pos="709"/>
        </w:tabs>
        <w:spacing w:before="100" w:beforeAutospacing="1" w:after="100" w:afterAutospacing="1" w:line="360" w:lineRule="auto"/>
        <w:ind w:right="51"/>
        <w:jc w:val="both"/>
        <w:rPr>
          <w:rFonts w:ascii="Palatino Linotype" w:hAnsi="Palatino Linotype"/>
        </w:rPr>
      </w:pPr>
      <w:r w:rsidRPr="00D54F5D">
        <w:rPr>
          <w:rFonts w:ascii="Palatino Linotype" w:hAnsi="Palatino Linotype"/>
        </w:rPr>
        <w:lastRenderedPageBreak/>
        <w:t xml:space="preserve">En apego de lo anterior, </w:t>
      </w:r>
      <w:r w:rsidRPr="00D54F5D">
        <w:rPr>
          <w:rFonts w:ascii="Palatino Linotype" w:hAnsi="Palatino Linotype"/>
          <w:b/>
        </w:rPr>
        <w:t xml:space="preserve">EL SUJETO OBLIGADO </w:t>
      </w:r>
      <w:r w:rsidRPr="00D54F5D">
        <w:rPr>
          <w:rFonts w:ascii="Palatino Linotype" w:hAnsi="Palatino Linotype"/>
        </w:rPr>
        <w:t xml:space="preserve">deberá realizar una búsqueda exhaustiva y razonable de la información en términos del artículo 162 de la Ley de la materia; y, para el caso de que se hubiese generado, administrado o poseído y no se encontrare dicha información, deberá hacer entrega del Acuerdo de inexistencia emitido por su Comité de Transparencia. </w:t>
      </w:r>
    </w:p>
    <w:p w:rsidR="0061521D" w:rsidRPr="00D54F5D" w:rsidRDefault="0061521D" w:rsidP="0061521D">
      <w:pPr>
        <w:tabs>
          <w:tab w:val="left" w:pos="709"/>
        </w:tabs>
        <w:spacing w:before="100" w:beforeAutospacing="1" w:after="100" w:afterAutospacing="1" w:line="360" w:lineRule="auto"/>
        <w:jc w:val="both"/>
        <w:rPr>
          <w:rFonts w:ascii="Palatino Linotype" w:hAnsi="Palatino Linotype"/>
        </w:rPr>
      </w:pPr>
      <w:r w:rsidRPr="00D54F5D">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bCs/>
          <w:i/>
          <w:iCs/>
          <w:sz w:val="22"/>
          <w:szCs w:val="22"/>
        </w:rPr>
        <w:t xml:space="preserve">“Artículo 19. </w:t>
      </w:r>
      <w:r w:rsidRPr="00D54F5D">
        <w:rPr>
          <w:rFonts w:ascii="Palatino Linotype" w:hAnsi="Palatino Linotype"/>
          <w:i/>
          <w:iCs/>
          <w:sz w:val="22"/>
          <w:szCs w:val="22"/>
        </w:rPr>
        <w:t>Se presume que la información debe existir si se refiere a las facultades, competencias y funciones que los ordenamientos jurídicos aplicables otorgan a los sujetos obligados. </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iCs/>
          <w:sz w:val="22"/>
          <w:szCs w:val="22"/>
        </w:rPr>
        <w:t>…</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bCs/>
          <w:i/>
          <w:iCs/>
          <w:sz w:val="22"/>
          <w:szCs w:val="22"/>
        </w:rPr>
        <w:t>Artículo 49.</w:t>
      </w:r>
      <w:r w:rsidRPr="00D54F5D">
        <w:rPr>
          <w:rFonts w:ascii="Palatino Linotype" w:hAnsi="Palatino Linotype"/>
          <w:i/>
          <w:iCs/>
          <w:sz w:val="22"/>
          <w:szCs w:val="22"/>
        </w:rPr>
        <w:t xml:space="preserve"> Los Comités de Transparencia tendrán las siguientes atribuciones:</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XIII. Dictaminar las declaratorias de inexistencia de la información que les remitan las unidades administrativas y resolver en consecuencia;</w:t>
      </w:r>
    </w:p>
    <w:p w:rsidR="0061521D" w:rsidRPr="00D54F5D" w:rsidRDefault="0061521D" w:rsidP="0061521D">
      <w:pPr>
        <w:tabs>
          <w:tab w:val="left" w:pos="709"/>
        </w:tabs>
        <w:spacing w:before="120"/>
        <w:ind w:left="851" w:right="851"/>
        <w:jc w:val="both"/>
        <w:rPr>
          <w:rFonts w:ascii="Palatino Linotype" w:hAnsi="Palatino Linotype"/>
          <w:b/>
          <w:i/>
          <w:sz w:val="22"/>
          <w:szCs w:val="22"/>
        </w:rPr>
      </w:pPr>
      <w:r w:rsidRPr="00D54F5D">
        <w:rPr>
          <w:rFonts w:ascii="Palatino Linotype" w:hAnsi="Palatino Linotype"/>
          <w:b/>
          <w:bCs/>
          <w:i/>
          <w:sz w:val="22"/>
          <w:szCs w:val="22"/>
        </w:rPr>
        <w:t xml:space="preserve">I. </w:t>
      </w:r>
      <w:r w:rsidRPr="00D54F5D">
        <w:rPr>
          <w:rFonts w:ascii="Palatino Linotype" w:hAnsi="Palatino Linotype"/>
          <w:i/>
          <w:sz w:val="22"/>
          <w:szCs w:val="22"/>
        </w:rPr>
        <w:t>Analizará el caso y tomará las medidas necesarias para localizar la información;</w:t>
      </w:r>
    </w:p>
    <w:p w:rsidR="0061521D" w:rsidRPr="00D54F5D" w:rsidRDefault="0061521D" w:rsidP="0061521D">
      <w:pPr>
        <w:tabs>
          <w:tab w:val="left" w:pos="709"/>
        </w:tabs>
        <w:spacing w:before="120"/>
        <w:ind w:left="851" w:right="851"/>
        <w:jc w:val="both"/>
        <w:rPr>
          <w:rFonts w:ascii="Palatino Linotype" w:hAnsi="Palatino Linotype"/>
          <w:b/>
          <w:i/>
          <w:sz w:val="22"/>
          <w:szCs w:val="22"/>
        </w:rPr>
      </w:pPr>
      <w:r w:rsidRPr="00D54F5D">
        <w:rPr>
          <w:rFonts w:ascii="Palatino Linotype" w:hAnsi="Palatino Linotype"/>
          <w:b/>
          <w:bCs/>
          <w:i/>
          <w:sz w:val="22"/>
          <w:szCs w:val="22"/>
        </w:rPr>
        <w:t xml:space="preserve">II. </w:t>
      </w:r>
      <w:r w:rsidRPr="00D54F5D">
        <w:rPr>
          <w:rFonts w:ascii="Palatino Linotype" w:hAnsi="Palatino Linotype"/>
          <w:i/>
          <w:sz w:val="22"/>
          <w:szCs w:val="22"/>
        </w:rPr>
        <w:t>Expedirá una resolución que confirme la inexistencia del documento;</w:t>
      </w:r>
    </w:p>
    <w:p w:rsidR="0061521D" w:rsidRPr="00D54F5D" w:rsidRDefault="0061521D" w:rsidP="0061521D">
      <w:pPr>
        <w:tabs>
          <w:tab w:val="left" w:pos="709"/>
        </w:tabs>
        <w:spacing w:before="120"/>
        <w:ind w:left="851" w:right="851"/>
        <w:jc w:val="both"/>
        <w:rPr>
          <w:rFonts w:ascii="Palatino Linotype" w:hAnsi="Palatino Linotype"/>
          <w:b/>
          <w:i/>
          <w:sz w:val="22"/>
          <w:szCs w:val="22"/>
        </w:rPr>
      </w:pPr>
      <w:r w:rsidRPr="00D54F5D">
        <w:rPr>
          <w:rFonts w:ascii="Palatino Linotype" w:hAnsi="Palatino Linotype"/>
          <w:b/>
          <w:bCs/>
          <w:i/>
          <w:sz w:val="22"/>
          <w:szCs w:val="22"/>
        </w:rPr>
        <w:t xml:space="preserve">III. </w:t>
      </w:r>
      <w:r w:rsidRPr="00D54F5D">
        <w:rPr>
          <w:rFonts w:ascii="Palatino Linotype" w:hAnsi="Palatino Linotype"/>
          <w:i/>
          <w:sz w:val="22"/>
          <w:szCs w:val="22"/>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w:t>
      </w:r>
      <w:r w:rsidRPr="00D54F5D">
        <w:rPr>
          <w:rFonts w:ascii="Palatino Linotype" w:hAnsi="Palatino Linotype"/>
          <w:i/>
          <w:sz w:val="22"/>
          <w:szCs w:val="22"/>
        </w:rPr>
        <w:lastRenderedPageBreak/>
        <w:t>las cuales en el caso particular no ejerció dichas facultades, competencias o funciones, lo cual notificará al solicitante a través de la Unidad de Transparencia; y</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bCs/>
          <w:i/>
          <w:sz w:val="22"/>
          <w:szCs w:val="22"/>
        </w:rPr>
        <w:t xml:space="preserve">IV. </w:t>
      </w:r>
      <w:r w:rsidRPr="00D54F5D">
        <w:rPr>
          <w:rFonts w:ascii="Palatino Linotype" w:hAnsi="Palatino Linotype"/>
          <w:i/>
          <w:sz w:val="22"/>
          <w:szCs w:val="22"/>
        </w:rPr>
        <w:t>Notificará al órgano interno de control o equivalente del sujeto obligado quien, en su caso, deberá iniciar el procedimiento de responsabilidad administrativa que corresponda.</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Este plazo podrá ampliarse hasta por otros siete días hábiles, siempre que existan razones para ello, debiendo notificarse por escrito al solicitante.</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i/>
          <w:sz w:val="22"/>
          <w:szCs w:val="22"/>
        </w:rPr>
        <w:t>Artículo 169.</w:t>
      </w:r>
      <w:r w:rsidRPr="00D54F5D">
        <w:rPr>
          <w:rFonts w:ascii="Palatino Linotype" w:hAnsi="Palatino Linotype"/>
          <w:i/>
          <w:sz w:val="22"/>
          <w:szCs w:val="22"/>
        </w:rPr>
        <w:t xml:space="preserve"> Cuando la información no se encuentre en los archivos del sujeto obligado, el Comité de Transparencia:</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i/>
          <w:sz w:val="22"/>
          <w:szCs w:val="22"/>
        </w:rPr>
        <w:t>I.</w:t>
      </w:r>
      <w:r w:rsidRPr="00D54F5D">
        <w:rPr>
          <w:rFonts w:ascii="Palatino Linotype" w:hAnsi="Palatino Linotype"/>
          <w:i/>
          <w:sz w:val="22"/>
          <w:szCs w:val="22"/>
        </w:rPr>
        <w:t xml:space="preserve"> Analizará el caso y tomará las medidas necesarias para localizar la información;</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i/>
          <w:sz w:val="22"/>
          <w:szCs w:val="22"/>
        </w:rPr>
        <w:t>II.</w:t>
      </w:r>
      <w:r w:rsidRPr="00D54F5D">
        <w:rPr>
          <w:rFonts w:ascii="Palatino Linotype" w:hAnsi="Palatino Linotype"/>
          <w:i/>
          <w:sz w:val="22"/>
          <w:szCs w:val="22"/>
        </w:rPr>
        <w:t xml:space="preserve"> Expedirá una resolución que confirme la inexistencia del documento;</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i/>
          <w:sz w:val="22"/>
          <w:szCs w:val="22"/>
        </w:rPr>
        <w:t>III.</w:t>
      </w:r>
      <w:r w:rsidRPr="00D54F5D">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b/>
          <w:i/>
          <w:sz w:val="22"/>
          <w:szCs w:val="22"/>
        </w:rPr>
        <w:t>IV.</w:t>
      </w:r>
      <w:r w:rsidRPr="00D54F5D">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61521D" w:rsidRPr="00D54F5D" w:rsidRDefault="0061521D" w:rsidP="0061521D">
      <w:pPr>
        <w:tabs>
          <w:tab w:val="left" w:pos="709"/>
        </w:tabs>
        <w:spacing w:before="120"/>
        <w:ind w:left="851" w:right="851"/>
        <w:jc w:val="both"/>
        <w:rPr>
          <w:rFonts w:ascii="Palatino Linotype" w:hAnsi="Palatino Linotype"/>
          <w:i/>
          <w:sz w:val="22"/>
          <w:szCs w:val="22"/>
        </w:rPr>
      </w:pPr>
      <w:r w:rsidRPr="00D54F5D">
        <w:rPr>
          <w:rFonts w:ascii="Palatino Linotype" w:hAnsi="Palatino Linotype"/>
          <w:i/>
          <w:sz w:val="22"/>
          <w:szCs w:val="22"/>
        </w:rPr>
        <w:t>Este plazo podrá ampliarse hasta por otros siete días hábiles, siempre que existan razones para ello, debiendo notificarse por escrito al solicitante.</w:t>
      </w:r>
    </w:p>
    <w:p w:rsidR="0061521D" w:rsidRPr="00D54F5D" w:rsidRDefault="0061521D" w:rsidP="0061521D">
      <w:pPr>
        <w:tabs>
          <w:tab w:val="left" w:pos="709"/>
        </w:tabs>
        <w:spacing w:before="120"/>
        <w:ind w:left="851" w:right="851"/>
        <w:jc w:val="both"/>
        <w:rPr>
          <w:rFonts w:ascii="Palatino Linotype" w:hAnsi="Palatino Linotype"/>
          <w:b/>
          <w:i/>
          <w:iCs/>
          <w:sz w:val="22"/>
          <w:szCs w:val="22"/>
        </w:rPr>
      </w:pPr>
      <w:r w:rsidRPr="00D54F5D">
        <w:rPr>
          <w:rFonts w:ascii="Palatino Linotype" w:hAnsi="Palatino Linotype"/>
          <w:b/>
          <w:i/>
          <w:sz w:val="22"/>
          <w:szCs w:val="22"/>
        </w:rPr>
        <w:t>Artículo 170</w:t>
      </w:r>
      <w:r w:rsidRPr="00D54F5D">
        <w:rPr>
          <w:rFonts w:ascii="Palatino Linotype" w:hAnsi="Palatino Linotype"/>
          <w:b/>
          <w:bCs/>
          <w:i/>
          <w:iCs/>
          <w:sz w:val="22"/>
          <w:szCs w:val="22"/>
        </w:rPr>
        <w:t>.</w:t>
      </w:r>
      <w:r w:rsidRPr="00D54F5D">
        <w:rPr>
          <w:rFonts w:ascii="Palatino Linotype" w:hAnsi="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 </w:t>
      </w:r>
    </w:p>
    <w:p w:rsidR="0061521D" w:rsidRPr="00D54F5D" w:rsidRDefault="0061521D" w:rsidP="0061521D">
      <w:pPr>
        <w:tabs>
          <w:tab w:val="left" w:pos="709"/>
        </w:tabs>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De igual forma, en observancia a lo anterior tiene aplicación lo establecido en los Lineamientos para la Recepción, Trámite y Resolución de las solicitudes de Acceso a la </w:t>
      </w:r>
      <w:r w:rsidRPr="00D54F5D">
        <w:rPr>
          <w:rFonts w:ascii="Palatino Linotype" w:hAnsi="Palatino Linotype" w:cs="Arial"/>
        </w:rPr>
        <w:lastRenderedPageBreak/>
        <w:t>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EA03C6" w:rsidRPr="00D54F5D" w:rsidRDefault="00EA03C6" w:rsidP="00EA03C6">
      <w:pPr>
        <w:spacing w:before="100" w:beforeAutospacing="1" w:after="100" w:afterAutospacing="1" w:line="360" w:lineRule="auto"/>
        <w:jc w:val="both"/>
        <w:rPr>
          <w:rFonts w:ascii="Palatino Linotype" w:hAnsi="Palatino Linotype" w:cs="Arial"/>
          <w:bCs/>
        </w:rPr>
      </w:pPr>
      <w:r w:rsidRPr="00D54F5D">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D54F5D">
        <w:rPr>
          <w:rFonts w:ascii="Palatino Linotype" w:hAnsi="Palatino Linotype" w:cs="Arial"/>
          <w:b/>
        </w:rPr>
        <w:t>versión pública</w:t>
      </w:r>
      <w:r w:rsidRPr="00D54F5D">
        <w:rPr>
          <w:rFonts w:ascii="Palatino Linotype" w:hAnsi="Palatino Linotype" w:cs="Arial"/>
        </w:rPr>
        <w:t>; pues, el</w:t>
      </w:r>
      <w:r w:rsidRPr="00D54F5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A03C6" w:rsidRPr="00D54F5D" w:rsidRDefault="00EA03C6" w:rsidP="00EA03C6">
      <w:pPr>
        <w:spacing w:before="100" w:beforeAutospacing="1" w:after="100" w:afterAutospacing="1" w:line="360" w:lineRule="auto"/>
        <w:jc w:val="both"/>
        <w:rPr>
          <w:rFonts w:ascii="Palatino Linotype" w:hAnsi="Palatino Linotype" w:cs="Arial"/>
          <w:bCs/>
        </w:rPr>
      </w:pPr>
      <w:r w:rsidRPr="00D54F5D">
        <w:rPr>
          <w:rFonts w:ascii="Palatino Linotype" w:hAnsi="Palatino Linotype" w:cs="Arial"/>
          <w:bCs/>
        </w:rPr>
        <w:t>A este respecto, los artículos 3, fracciones IX, XX, XXI y XLV; 51 y 52 de la Ley de Transparencia y Acceso a la Información Pública del Estado de México y Municipios establecen:</w:t>
      </w:r>
    </w:p>
    <w:p w:rsidR="00EA03C6" w:rsidRPr="00D54F5D" w:rsidRDefault="00EA03C6" w:rsidP="00EA03C6">
      <w:pPr>
        <w:ind w:left="851" w:right="901"/>
        <w:jc w:val="both"/>
        <w:rPr>
          <w:rFonts w:ascii="Palatino Linotype" w:hAnsi="Palatino Linotype"/>
          <w:i/>
          <w:sz w:val="22"/>
          <w:szCs w:val="22"/>
        </w:rPr>
      </w:pPr>
      <w:r w:rsidRPr="00D54F5D">
        <w:rPr>
          <w:rFonts w:ascii="Palatino Linotype" w:hAnsi="Palatino Linotype" w:cs="Arial"/>
          <w:b/>
          <w:bCs/>
          <w:i/>
          <w:noProof/>
          <w:sz w:val="22"/>
          <w:szCs w:val="22"/>
        </w:rPr>
        <w:t>“</w:t>
      </w:r>
      <w:r w:rsidRPr="00D54F5D">
        <w:rPr>
          <w:rFonts w:ascii="Palatino Linotype" w:hAnsi="Palatino Linotype" w:cs="Arial"/>
          <w:b/>
          <w:bCs/>
          <w:i/>
          <w:sz w:val="22"/>
          <w:szCs w:val="22"/>
        </w:rPr>
        <w:t xml:space="preserve">Artículo 3. </w:t>
      </w:r>
      <w:r w:rsidRPr="00D54F5D">
        <w:rPr>
          <w:rFonts w:ascii="Palatino Linotype" w:hAnsi="Palatino Linotype"/>
          <w:i/>
          <w:sz w:val="22"/>
          <w:szCs w:val="22"/>
        </w:rPr>
        <w:t xml:space="preserve">Para los efectos de la presente Ley se entenderá por: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t>IX.</w:t>
      </w:r>
      <w:r w:rsidRPr="00D54F5D">
        <w:rPr>
          <w:rFonts w:ascii="Palatino Linotype" w:hAnsi="Palatino Linotype" w:cs="Arial"/>
          <w:i/>
          <w:sz w:val="22"/>
          <w:szCs w:val="22"/>
        </w:rPr>
        <w:t xml:space="preserve"> </w:t>
      </w:r>
      <w:r w:rsidRPr="00D54F5D">
        <w:rPr>
          <w:rFonts w:ascii="Palatino Linotype" w:hAnsi="Palatino Linotype" w:cs="Arial"/>
          <w:b/>
          <w:i/>
          <w:sz w:val="22"/>
          <w:szCs w:val="22"/>
        </w:rPr>
        <w:t xml:space="preserve">Datos personales: </w:t>
      </w:r>
      <w:r w:rsidRPr="00D54F5D">
        <w:rPr>
          <w:rFonts w:ascii="Palatino Linotype" w:hAnsi="Palatino Linotype" w:cs="Arial"/>
          <w:i/>
          <w:sz w:val="22"/>
          <w:szCs w:val="22"/>
        </w:rPr>
        <w:t xml:space="preserve">La información concerniente a una persona, identificada o identificable según lo dispuesto por la Ley de </w:t>
      </w:r>
      <w:r w:rsidRPr="00D54F5D">
        <w:rPr>
          <w:rFonts w:ascii="Palatino Linotype" w:hAnsi="Palatino Linotype"/>
          <w:i/>
          <w:sz w:val="22"/>
          <w:szCs w:val="22"/>
        </w:rPr>
        <w:t>Protección</w:t>
      </w:r>
      <w:r w:rsidRPr="00D54F5D">
        <w:rPr>
          <w:rFonts w:ascii="Palatino Linotype" w:hAnsi="Palatino Linotype" w:cs="Arial"/>
          <w:i/>
          <w:sz w:val="22"/>
          <w:szCs w:val="22"/>
        </w:rPr>
        <w:t xml:space="preserve"> de Datos Personales del Estado de México;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t>XX.</w:t>
      </w:r>
      <w:r w:rsidRPr="00D54F5D">
        <w:rPr>
          <w:rFonts w:ascii="Palatino Linotype" w:hAnsi="Palatino Linotype" w:cs="Arial"/>
          <w:i/>
          <w:sz w:val="22"/>
          <w:szCs w:val="22"/>
        </w:rPr>
        <w:t xml:space="preserve"> </w:t>
      </w:r>
      <w:r w:rsidRPr="00D54F5D">
        <w:rPr>
          <w:rFonts w:ascii="Palatino Linotype" w:hAnsi="Palatino Linotype" w:cs="Arial"/>
          <w:b/>
          <w:i/>
          <w:sz w:val="22"/>
          <w:szCs w:val="22"/>
        </w:rPr>
        <w:t>Información clasificada:</w:t>
      </w:r>
      <w:r w:rsidRPr="00D54F5D">
        <w:rPr>
          <w:rFonts w:ascii="Palatino Linotype" w:hAnsi="Palatino Linotype" w:cs="Arial"/>
          <w:i/>
          <w:sz w:val="22"/>
          <w:szCs w:val="22"/>
        </w:rPr>
        <w:t xml:space="preserve"> Aquella considerada por la presente Ley como reservada o confidencial;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lastRenderedPageBreak/>
        <w:t>XXI.</w:t>
      </w:r>
      <w:r w:rsidRPr="00D54F5D">
        <w:rPr>
          <w:rFonts w:ascii="Palatino Linotype" w:hAnsi="Palatino Linotype" w:cs="Arial"/>
          <w:i/>
          <w:sz w:val="22"/>
          <w:szCs w:val="22"/>
        </w:rPr>
        <w:t xml:space="preserve"> </w:t>
      </w:r>
      <w:r w:rsidRPr="00D54F5D">
        <w:rPr>
          <w:rFonts w:ascii="Palatino Linotype" w:hAnsi="Palatino Linotype" w:cs="Arial"/>
          <w:b/>
          <w:i/>
          <w:sz w:val="22"/>
          <w:szCs w:val="22"/>
        </w:rPr>
        <w:t>Información confidencial</w:t>
      </w:r>
      <w:r w:rsidRPr="00D54F5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t>XLV. Versión pública:</w:t>
      </w:r>
      <w:r w:rsidRPr="00D54F5D">
        <w:rPr>
          <w:rFonts w:ascii="Palatino Linotype" w:hAnsi="Palatino Linotype" w:cs="Arial"/>
          <w:i/>
          <w:sz w:val="22"/>
          <w:szCs w:val="22"/>
        </w:rPr>
        <w:t xml:space="preserve"> Documento en el que se elimine, suprime o borra la información clasificada como reservada o confidencial para permitir su acceso.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t>Artículo 51.</w:t>
      </w:r>
      <w:r w:rsidRPr="00D54F5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54F5D">
        <w:rPr>
          <w:rFonts w:ascii="Palatino Linotype" w:hAnsi="Palatino Linotype" w:cs="Arial"/>
          <w:b/>
          <w:i/>
          <w:sz w:val="22"/>
          <w:szCs w:val="22"/>
        </w:rPr>
        <w:t xml:space="preserve">y tendrá la responsabilidad de verificar en cada caso que la misma no sea confidencial o reservada. </w:t>
      </w:r>
      <w:r w:rsidRPr="00D54F5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A03C6" w:rsidRPr="00D54F5D" w:rsidRDefault="00EA03C6" w:rsidP="00EA03C6">
      <w:pPr>
        <w:ind w:left="851" w:right="899"/>
        <w:jc w:val="both"/>
        <w:rPr>
          <w:rFonts w:ascii="Palatino Linotype" w:hAnsi="Palatino Linotype" w:cs="Arial"/>
          <w:i/>
          <w:sz w:val="22"/>
          <w:szCs w:val="22"/>
        </w:rPr>
      </w:pPr>
      <w:r w:rsidRPr="00D54F5D">
        <w:rPr>
          <w:rFonts w:ascii="Palatino Linotype" w:hAnsi="Palatino Linotype" w:cs="Arial"/>
          <w:b/>
          <w:i/>
          <w:sz w:val="22"/>
          <w:szCs w:val="22"/>
        </w:rPr>
        <w:t>Artículo 52.</w:t>
      </w:r>
      <w:r w:rsidRPr="00D54F5D">
        <w:rPr>
          <w:rFonts w:ascii="Palatino Linotype" w:hAnsi="Palatino Linotype" w:cs="Arial"/>
          <w:i/>
          <w:sz w:val="22"/>
          <w:szCs w:val="22"/>
        </w:rPr>
        <w:t xml:space="preserve"> Las solicitudes de acceso a la información y las respuestas que se les dé, incluyendo, en su caso, </w:t>
      </w:r>
      <w:r w:rsidRPr="00D54F5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54F5D">
        <w:rPr>
          <w:rFonts w:ascii="Palatino Linotype" w:hAnsi="Palatino Linotype" w:cs="Arial"/>
          <w:i/>
          <w:sz w:val="22"/>
          <w:szCs w:val="22"/>
        </w:rPr>
        <w:t>, siempre y cuando la resolución de referencia se someta a un proceso de disociación, es decir, no haga identificable al titular de tales datos personales.</w:t>
      </w:r>
      <w:r w:rsidRPr="00D54F5D">
        <w:rPr>
          <w:rFonts w:ascii="Palatino Linotype" w:hAnsi="Palatino Linotype" w:cs="Arial"/>
          <w:bCs/>
          <w:i/>
          <w:noProof/>
          <w:sz w:val="22"/>
          <w:szCs w:val="22"/>
        </w:rPr>
        <w:t>”</w:t>
      </w:r>
    </w:p>
    <w:p w:rsidR="00EA03C6" w:rsidRPr="00D54F5D" w:rsidRDefault="00EA03C6" w:rsidP="00EA03C6">
      <w:pPr>
        <w:ind w:right="899" w:firstLine="708"/>
        <w:jc w:val="both"/>
        <w:rPr>
          <w:rFonts w:ascii="Palatino Linotype" w:hAnsi="Palatino Linotype" w:cs="Arial"/>
          <w:sz w:val="22"/>
          <w:szCs w:val="22"/>
        </w:rPr>
      </w:pPr>
      <w:r w:rsidRPr="00D54F5D">
        <w:rPr>
          <w:rFonts w:ascii="Palatino Linotype" w:hAnsi="Palatino Linotype" w:cs="Arial"/>
          <w:sz w:val="22"/>
          <w:szCs w:val="22"/>
        </w:rPr>
        <w:t>(Énfasis añadido)</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EA03C6" w:rsidRPr="00D54F5D" w:rsidRDefault="00EA03C6" w:rsidP="00EA03C6">
      <w:pPr>
        <w:ind w:left="851" w:right="902"/>
        <w:jc w:val="both"/>
        <w:rPr>
          <w:rFonts w:ascii="Palatino Linotype" w:eastAsia="Arial Unicode MS" w:hAnsi="Palatino Linotype" w:cs="Arial"/>
          <w:i/>
          <w:sz w:val="22"/>
          <w:szCs w:val="22"/>
        </w:rPr>
      </w:pPr>
      <w:r w:rsidRPr="00D54F5D">
        <w:rPr>
          <w:rFonts w:ascii="Palatino Linotype" w:eastAsia="Arial Unicode MS" w:hAnsi="Palatino Linotype" w:cs="Arial"/>
          <w:b/>
          <w:i/>
          <w:sz w:val="22"/>
          <w:szCs w:val="22"/>
        </w:rPr>
        <w:t>“Artículo 22.</w:t>
      </w:r>
      <w:r w:rsidRPr="00D54F5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A03C6" w:rsidRPr="00D54F5D" w:rsidRDefault="00EA03C6" w:rsidP="00EA03C6">
      <w:pPr>
        <w:ind w:left="851" w:right="902"/>
        <w:jc w:val="both"/>
        <w:rPr>
          <w:rFonts w:ascii="Palatino Linotype" w:eastAsia="Arial Unicode MS" w:hAnsi="Palatino Linotype" w:cs="Arial"/>
          <w:i/>
          <w:sz w:val="22"/>
          <w:szCs w:val="22"/>
        </w:rPr>
      </w:pPr>
      <w:r w:rsidRPr="00D54F5D">
        <w:rPr>
          <w:rFonts w:ascii="Palatino Linotype" w:eastAsia="Arial Unicode MS" w:hAnsi="Palatino Linotype" w:cs="Arial"/>
          <w:b/>
          <w:i/>
          <w:sz w:val="22"/>
          <w:szCs w:val="22"/>
        </w:rPr>
        <w:t>Artículo 38.</w:t>
      </w:r>
      <w:r w:rsidRPr="00D54F5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D54F5D">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54F5D">
        <w:rPr>
          <w:rFonts w:ascii="Palatino Linotype" w:eastAsia="Arial Unicode MS" w:hAnsi="Palatino Linotype" w:cs="Arial"/>
          <w:b/>
          <w:i/>
          <w:sz w:val="22"/>
          <w:szCs w:val="22"/>
        </w:rPr>
        <w:t>”</w:t>
      </w:r>
      <w:r w:rsidRPr="00D54F5D">
        <w:rPr>
          <w:rFonts w:ascii="Palatino Linotype" w:eastAsia="Arial Unicode MS" w:hAnsi="Palatino Linotype" w:cs="Arial"/>
          <w:i/>
          <w:sz w:val="22"/>
          <w:szCs w:val="22"/>
        </w:rPr>
        <w:t xml:space="preserve"> </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54F5D">
        <w:rPr>
          <w:rFonts w:ascii="Palatino Linotype" w:eastAsia="Arial Unicode MS" w:hAnsi="Palatino Linotype" w:cs="Arial"/>
        </w:rPr>
        <w:t xml:space="preserve"> que debe ser protegida por </w:t>
      </w:r>
      <w:r w:rsidRPr="00D54F5D">
        <w:rPr>
          <w:rFonts w:ascii="Palatino Linotype" w:eastAsia="Arial Unicode MS" w:hAnsi="Palatino Linotype" w:cs="Arial"/>
          <w:b/>
        </w:rPr>
        <w:t>EL SUJETO OBLIGADO,</w:t>
      </w:r>
      <w:r w:rsidRPr="00D54F5D">
        <w:rPr>
          <w:rFonts w:ascii="Palatino Linotype" w:eastAsia="Arial Unicode MS" w:hAnsi="Palatino Linotype" w:cs="Arial"/>
        </w:rPr>
        <w:t xml:space="preserve"> por lo </w:t>
      </w:r>
      <w:r w:rsidRPr="00D54F5D">
        <w:rPr>
          <w:rFonts w:ascii="Palatino Linotype" w:hAnsi="Palatino Linotype" w:cs="Arial"/>
        </w:rPr>
        <w:t>que, todo dato personal susceptible de clasificación debe ser protegido.</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w:t>
      </w:r>
      <w:r w:rsidRPr="00D54F5D">
        <w:rPr>
          <w:rFonts w:ascii="Palatino Linotype" w:hAnsi="Palatino Linotype" w:cs="Arial"/>
        </w:rPr>
        <w:lastRenderedPageBreak/>
        <w:t>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 xml:space="preserve">“Artículo 49. </w:t>
      </w:r>
      <w:r w:rsidRPr="00D54F5D">
        <w:rPr>
          <w:rFonts w:ascii="Palatino Linotype" w:hAnsi="Palatino Linotype" w:cs="Arial"/>
          <w:i/>
          <w:sz w:val="22"/>
          <w:szCs w:val="22"/>
        </w:rPr>
        <w:t>Los Comités de Transparencia tendrán las siguientes atribuciones: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VIII.</w:t>
      </w:r>
      <w:r w:rsidRPr="00D54F5D">
        <w:rPr>
          <w:rFonts w:ascii="Palatino Linotype" w:hAnsi="Palatino Linotype" w:cs="Arial"/>
          <w:i/>
          <w:sz w:val="22"/>
          <w:szCs w:val="22"/>
        </w:rPr>
        <w:t xml:space="preserve"> Aprobar, modificar o revocar la clasificación de la información;</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Artículo 132.</w:t>
      </w:r>
      <w:r w:rsidRPr="00D54F5D">
        <w:rPr>
          <w:rFonts w:ascii="Palatino Linotype" w:hAnsi="Palatino Linotype" w:cs="Arial"/>
          <w:i/>
          <w:sz w:val="22"/>
          <w:szCs w:val="22"/>
        </w:rPr>
        <w:t xml:space="preserve"> La clasificación de la información se llevará a cabo en el momento en que:</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I.</w:t>
      </w:r>
      <w:r w:rsidRPr="00D54F5D">
        <w:rPr>
          <w:rFonts w:ascii="Palatino Linotype" w:hAnsi="Palatino Linotype" w:cs="Arial"/>
          <w:i/>
          <w:sz w:val="22"/>
          <w:szCs w:val="22"/>
        </w:rPr>
        <w:t xml:space="preserve"> Se reciba una solicitud de acceso a la información;</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II.</w:t>
      </w:r>
      <w:r w:rsidRPr="00D54F5D">
        <w:rPr>
          <w:rFonts w:ascii="Palatino Linotype" w:hAnsi="Palatino Linotype" w:cs="Arial"/>
          <w:i/>
          <w:sz w:val="22"/>
          <w:szCs w:val="22"/>
        </w:rPr>
        <w:t xml:space="preserve"> Se determine mediante resolución de autoridad competente; o</w:t>
      </w:r>
    </w:p>
    <w:p w:rsidR="00EA03C6" w:rsidRPr="00D54F5D" w:rsidRDefault="00EA03C6" w:rsidP="00EA03C6">
      <w:pPr>
        <w:ind w:left="851" w:right="902"/>
        <w:jc w:val="both"/>
        <w:rPr>
          <w:rFonts w:ascii="Palatino Linotype" w:hAnsi="Palatino Linotype" w:cs="Arial"/>
          <w:b/>
          <w:i/>
          <w:sz w:val="22"/>
          <w:szCs w:val="22"/>
        </w:rPr>
      </w:pPr>
      <w:r w:rsidRPr="00D54F5D">
        <w:rPr>
          <w:rFonts w:ascii="Palatino Linotype" w:hAnsi="Palatino Linotype" w:cs="Arial"/>
          <w:i/>
          <w:sz w:val="22"/>
          <w:szCs w:val="22"/>
        </w:rPr>
        <w:t>III. Se generen versiones públicas para dar cumplimiento a las obligaciones de transparencia previstas en esta Ley.</w:t>
      </w:r>
      <w:r w:rsidRPr="00D54F5D">
        <w:rPr>
          <w:rFonts w:ascii="Palatino Linotype" w:hAnsi="Palatino Linotype" w:cs="Arial"/>
          <w:b/>
          <w:i/>
          <w:sz w:val="22"/>
          <w:szCs w:val="22"/>
        </w:rPr>
        <w:t>”</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“Segundo.-</w:t>
      </w:r>
      <w:r w:rsidRPr="00D54F5D">
        <w:rPr>
          <w:rFonts w:ascii="Palatino Linotype" w:hAnsi="Palatino Linotype" w:cs="Arial"/>
          <w:i/>
          <w:sz w:val="22"/>
          <w:szCs w:val="22"/>
        </w:rPr>
        <w:t xml:space="preserve"> Para efectos de los presentes Lineamientos Generales, se entenderá por:</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XVIII.</w:t>
      </w:r>
      <w:r w:rsidRPr="00D54F5D">
        <w:rPr>
          <w:rFonts w:ascii="Palatino Linotype" w:hAnsi="Palatino Linotype" w:cs="Arial"/>
          <w:i/>
          <w:sz w:val="22"/>
          <w:szCs w:val="22"/>
        </w:rPr>
        <w:t xml:space="preserve">  </w:t>
      </w:r>
      <w:r w:rsidRPr="00D54F5D">
        <w:rPr>
          <w:rFonts w:ascii="Palatino Linotype" w:hAnsi="Palatino Linotype" w:cs="Arial"/>
          <w:b/>
          <w:i/>
          <w:sz w:val="22"/>
          <w:szCs w:val="22"/>
        </w:rPr>
        <w:t>Versión pública:</w:t>
      </w:r>
      <w:r w:rsidRPr="00D54F5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Cuarto.</w:t>
      </w:r>
      <w:r w:rsidRPr="00D54F5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Quinto.</w:t>
      </w:r>
      <w:r w:rsidRPr="00D54F5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Sexto.</w:t>
      </w:r>
      <w:r w:rsidRPr="00D54F5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lastRenderedPageBreak/>
        <w:t>La clasificación de información se realizará conforme a un análisis caso por caso, mediante la aplicación de la prueba de daño y de interés público.</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Séptimo.</w:t>
      </w:r>
      <w:r w:rsidRPr="00D54F5D">
        <w:rPr>
          <w:rFonts w:ascii="Palatino Linotype" w:hAnsi="Palatino Linotype" w:cs="Arial"/>
          <w:i/>
          <w:sz w:val="22"/>
          <w:szCs w:val="22"/>
        </w:rPr>
        <w:t xml:space="preserve"> La clasificación de la información se llevará a cabo en el momento en que:</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I.</w:t>
      </w:r>
      <w:r w:rsidRPr="00D54F5D">
        <w:rPr>
          <w:rFonts w:ascii="Palatino Linotype" w:hAnsi="Palatino Linotype" w:cs="Arial"/>
          <w:i/>
          <w:sz w:val="22"/>
          <w:szCs w:val="22"/>
        </w:rPr>
        <w:t xml:space="preserve">        Se reciba una solicitud de acceso a la información;</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II.</w:t>
      </w:r>
      <w:r w:rsidRPr="00D54F5D">
        <w:rPr>
          <w:rFonts w:ascii="Palatino Linotype" w:hAnsi="Palatino Linotype" w:cs="Arial"/>
          <w:i/>
          <w:sz w:val="22"/>
          <w:szCs w:val="22"/>
        </w:rPr>
        <w:t xml:space="preserve">       Se determine mediante resolución de autoridad competente, o</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III.</w:t>
      </w:r>
      <w:r w:rsidRPr="00D54F5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Octavo.</w:t>
      </w:r>
      <w:r w:rsidRPr="00D54F5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Noveno.</w:t>
      </w:r>
      <w:r w:rsidRPr="00D54F5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b/>
          <w:i/>
          <w:sz w:val="22"/>
          <w:szCs w:val="22"/>
        </w:rPr>
        <w:t>Décimo.</w:t>
      </w:r>
      <w:r w:rsidRPr="00D54F5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A03C6" w:rsidRPr="00D54F5D" w:rsidRDefault="00EA03C6" w:rsidP="00EA03C6">
      <w:pPr>
        <w:ind w:left="851" w:right="902"/>
        <w:jc w:val="both"/>
        <w:rPr>
          <w:rFonts w:ascii="Palatino Linotype" w:hAnsi="Palatino Linotype" w:cs="Arial"/>
          <w:i/>
          <w:sz w:val="22"/>
          <w:szCs w:val="22"/>
        </w:rPr>
      </w:pPr>
      <w:r w:rsidRPr="00D54F5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A03C6" w:rsidRPr="00D54F5D" w:rsidRDefault="00EA03C6" w:rsidP="00EA03C6">
      <w:pPr>
        <w:ind w:left="851" w:right="899"/>
        <w:jc w:val="both"/>
        <w:rPr>
          <w:rFonts w:ascii="Palatino Linotype" w:hAnsi="Palatino Linotype" w:cs="Arial"/>
          <w:b/>
          <w:i/>
          <w:sz w:val="22"/>
          <w:szCs w:val="22"/>
        </w:rPr>
      </w:pPr>
      <w:r w:rsidRPr="00D54F5D">
        <w:rPr>
          <w:rFonts w:ascii="Palatino Linotype" w:hAnsi="Palatino Linotype" w:cs="Arial"/>
          <w:b/>
          <w:i/>
          <w:sz w:val="22"/>
          <w:szCs w:val="22"/>
        </w:rPr>
        <w:t>Décimo primero.</w:t>
      </w:r>
      <w:r w:rsidRPr="00D54F5D">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D54F5D">
        <w:rPr>
          <w:rFonts w:ascii="Palatino Linotype" w:hAnsi="Palatino Linotype" w:cs="Arial"/>
          <w:i/>
          <w:sz w:val="22"/>
          <w:szCs w:val="22"/>
        </w:rPr>
        <w:lastRenderedPageBreak/>
        <w:t>llevar la leyenda correspondiente de conformidad con lo dispuesto en el Capítulo VIII de los presentes lineamientos.</w:t>
      </w:r>
      <w:r w:rsidRPr="00D54F5D">
        <w:rPr>
          <w:rFonts w:ascii="Palatino Linotype" w:hAnsi="Palatino Linotype" w:cs="Arial"/>
          <w:b/>
          <w:i/>
          <w:sz w:val="22"/>
          <w:szCs w:val="22"/>
        </w:rPr>
        <w:t>”</w:t>
      </w:r>
    </w:p>
    <w:p w:rsidR="00EA03C6" w:rsidRPr="00D54F5D" w:rsidRDefault="00EA03C6" w:rsidP="00EA03C6">
      <w:pPr>
        <w:spacing w:before="100" w:beforeAutospacing="1" w:after="100" w:afterAutospacing="1" w:line="360" w:lineRule="auto"/>
        <w:jc w:val="both"/>
        <w:rPr>
          <w:rFonts w:ascii="Palatino Linotype" w:hAnsi="Palatino Linotype" w:cs="Arial"/>
        </w:rPr>
      </w:pPr>
      <w:r w:rsidRPr="00D54F5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A03C6" w:rsidRPr="00D54F5D" w:rsidRDefault="00EA03C6" w:rsidP="00EA03C6">
      <w:pPr>
        <w:spacing w:before="100" w:beforeAutospacing="1" w:after="100" w:afterAutospacing="1" w:line="360" w:lineRule="auto"/>
        <w:jc w:val="both"/>
        <w:rPr>
          <w:rFonts w:ascii="Palatino Linotype" w:hAnsi="Palatino Linotype" w:cs="Arial"/>
          <w:lang w:eastAsia="es-CO"/>
        </w:rPr>
      </w:pPr>
      <w:r w:rsidRPr="00D54F5D">
        <w:rPr>
          <w:rFonts w:ascii="Palatino Linotype" w:hAnsi="Palatino Linotype" w:cs="Arial"/>
        </w:rPr>
        <w:t xml:space="preserve">Consecuentemente, se destaca que la versión pública que elabore </w:t>
      </w:r>
      <w:r w:rsidRPr="00D54F5D">
        <w:rPr>
          <w:rFonts w:ascii="Palatino Linotype" w:hAnsi="Palatino Linotype" w:cs="Arial"/>
          <w:b/>
        </w:rPr>
        <w:t>EL SUJETO OBLIGADO</w:t>
      </w:r>
      <w:r w:rsidRPr="00D54F5D">
        <w:rPr>
          <w:rFonts w:ascii="Palatino Linotype" w:hAnsi="Palatino Linotype" w:cs="Arial"/>
        </w:rPr>
        <w:t xml:space="preserve"> debe cumplir con las formalidades exigidas en la Ley, por lo que para tal efecto emitirá el </w:t>
      </w:r>
      <w:r w:rsidRPr="00D54F5D">
        <w:rPr>
          <w:rFonts w:ascii="Palatino Linotype" w:hAnsi="Palatino Linotype" w:cs="Arial"/>
          <w:b/>
        </w:rPr>
        <w:t>Acuerdo del Comité de Transparencia</w:t>
      </w:r>
      <w:r w:rsidRPr="00D54F5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54F5D">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D1669" w:rsidRPr="00D54F5D" w:rsidRDefault="00FD1669" w:rsidP="00FD1669">
      <w:pPr>
        <w:spacing w:before="240" w:after="240" w:line="360" w:lineRule="auto"/>
        <w:jc w:val="both"/>
        <w:rPr>
          <w:rFonts w:ascii="Palatino Linotype" w:hAnsi="Palatino Linotype" w:cs="Arial"/>
        </w:rPr>
      </w:pPr>
      <w:r w:rsidRPr="00D54F5D">
        <w:rPr>
          <w:rFonts w:ascii="Palatino Linotype" w:hAnsi="Palatino Linotype" w:cs="Arial"/>
        </w:rPr>
        <w:t>Finalmente, no pasa desapercibido para esta Ponencia Resolutora que, el particular requirió la información en formato PDF, es decir, en Formato de Documento Portable (</w:t>
      </w:r>
      <w:r w:rsidRPr="00D54F5D">
        <w:rPr>
          <w:rFonts w:ascii="Palatino Linotype" w:hAnsi="Palatino Linotype" w:cs="Arial"/>
          <w:i/>
        </w:rPr>
        <w:t xml:space="preserve">Portable Document Format-por sus siglas en ingles), </w:t>
      </w:r>
      <w:r w:rsidRPr="00D54F5D">
        <w:rPr>
          <w:rFonts w:ascii="Palatino Linotype" w:hAnsi="Palatino Linotype" w:cs="Arial"/>
        </w:rPr>
        <w:t xml:space="preserve">mismo que consiste en un estándar abierto y oficial reconocido por la Organización Internacional para la Estandarización (ISO), los archivos PDF pueden contener vínculos y botones, campos de formulario, </w:t>
      </w:r>
      <w:r w:rsidRPr="00D54F5D">
        <w:rPr>
          <w:rFonts w:ascii="Palatino Linotype" w:hAnsi="Palatino Linotype" w:cs="Arial"/>
        </w:rPr>
        <w:lastRenderedPageBreak/>
        <w:t>audio, vídeo y lógica empresarial, también se pueden firmar de manera electrónica; es decir, es un formato de almacenamiento para documentos digitales independiente de plataformas de software o hardware. Este formato es de tipo compuesto (imagen vectorial, mapa de bits y texto).</w:t>
      </w:r>
    </w:p>
    <w:p w:rsidR="00FD1669" w:rsidRPr="00D54F5D" w:rsidRDefault="00FD1669" w:rsidP="00FD1669">
      <w:pPr>
        <w:spacing w:before="240" w:after="240" w:line="360" w:lineRule="auto"/>
        <w:jc w:val="both"/>
        <w:rPr>
          <w:rFonts w:ascii="Palatino Linotype" w:hAnsi="Palatino Linotype" w:cs="Arial"/>
        </w:rPr>
      </w:pPr>
      <w:r w:rsidRPr="00D54F5D">
        <w:rPr>
          <w:rFonts w:ascii="Palatino Linotype" w:hAnsi="Palatino Linotype" w:cs="Arial"/>
        </w:rPr>
        <w:t xml:space="preserve">No obstante, aun cuando </w:t>
      </w:r>
      <w:r w:rsidRPr="00D54F5D">
        <w:rPr>
          <w:rFonts w:ascii="Palatino Linotype" w:hAnsi="Palatino Linotype" w:cs="Arial"/>
          <w:b/>
        </w:rPr>
        <w:t xml:space="preserve">EL SUJETO OBLIGADO </w:t>
      </w:r>
      <w:r w:rsidRPr="00D54F5D">
        <w:rPr>
          <w:rFonts w:ascii="Palatino Linotype" w:hAnsi="Palatino Linotype" w:cs="Arial"/>
        </w:rPr>
        <w:t>pudiera hacer entrega de la información solicitada en dicho formato, lo cierto es que, de la normatividad que lo constriñe a generarla, poseerla y administrarla, no se advierte dato alguno que dé certeza jurídica acerca de que dicho formato es de uso obligatorio; por ello, se determina ordenar la entrega de la información en el formato en que éste la genere.</w:t>
      </w:r>
    </w:p>
    <w:p w:rsidR="00AB4DDB" w:rsidRPr="00D54F5D" w:rsidRDefault="00B32835" w:rsidP="00AB4D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4F5D">
        <w:rPr>
          <w:rFonts w:ascii="Palatino Linotype" w:eastAsia="Calibri" w:hAnsi="Palatino Linotype" w:cs="Arial"/>
        </w:rPr>
        <w:t xml:space="preserve">Atento a lo anterior, se determina que las razones o motivos de inconformidad devienen </w:t>
      </w:r>
      <w:r w:rsidRPr="00D54F5D">
        <w:rPr>
          <w:rFonts w:ascii="Palatino Linotype" w:eastAsia="Calibri" w:hAnsi="Palatino Linotype" w:cs="Arial"/>
          <w:b/>
        </w:rPr>
        <w:t>fundadas</w:t>
      </w:r>
      <w:r w:rsidR="00EA03C6" w:rsidRPr="00D54F5D">
        <w:rPr>
          <w:rFonts w:ascii="Palatino Linotype" w:eastAsia="Calibri" w:hAnsi="Palatino Linotype" w:cs="Arial"/>
          <w:b/>
        </w:rPr>
        <w:t xml:space="preserve">, </w:t>
      </w:r>
      <w:r w:rsidR="00EA03C6" w:rsidRPr="00D54F5D">
        <w:rPr>
          <w:rFonts w:ascii="Palatino Linotype" w:eastAsia="Calibri" w:hAnsi="Palatino Linotype" w:cs="Arial"/>
        </w:rPr>
        <w:t xml:space="preserve">toda vez que, </w:t>
      </w:r>
      <w:r w:rsidR="00EA03C6" w:rsidRPr="00D54F5D">
        <w:rPr>
          <w:rFonts w:ascii="Palatino Linotype" w:eastAsia="Calibri" w:hAnsi="Palatino Linotype" w:cs="Arial"/>
          <w:b/>
        </w:rPr>
        <w:t xml:space="preserve">EL SUJETO OBLIGADO </w:t>
      </w:r>
      <w:r w:rsidR="00EA03C6" w:rsidRPr="00D54F5D">
        <w:rPr>
          <w:rFonts w:ascii="Palatino Linotype" w:eastAsia="Calibri" w:hAnsi="Palatino Linotype" w:cs="Arial"/>
        </w:rPr>
        <w:t>efectivamente negó la entrega de la información solicitada</w:t>
      </w:r>
      <w:r w:rsidRPr="00D54F5D">
        <w:rPr>
          <w:rFonts w:ascii="Palatino Linotype" w:eastAsia="Calibri" w:hAnsi="Palatino Linotype" w:cs="Arial"/>
          <w:b/>
        </w:rPr>
        <w:t xml:space="preserve">; </w:t>
      </w:r>
      <w:r w:rsidRPr="00D54F5D">
        <w:rPr>
          <w:rFonts w:ascii="Palatino Linotype" w:eastAsia="Calibri" w:hAnsi="Palatino Linotype" w:cs="Arial"/>
        </w:rPr>
        <w:t>por lo que, resulta procedente de conformidad con el artículo 186 fracción I</w:t>
      </w:r>
      <w:r w:rsidR="00EA03C6" w:rsidRPr="00D54F5D">
        <w:rPr>
          <w:rFonts w:ascii="Palatino Linotype" w:eastAsia="Calibri" w:hAnsi="Palatino Linotype" w:cs="Arial"/>
        </w:rPr>
        <w:t>V</w:t>
      </w:r>
      <w:r w:rsidRPr="00D54F5D">
        <w:rPr>
          <w:rFonts w:ascii="Palatino Linotype" w:eastAsia="Calibri" w:hAnsi="Palatino Linotype" w:cs="Arial"/>
        </w:rPr>
        <w:t xml:space="preserve"> de la Ley de Transparencia y Acceso a la Información Pública del Estado de México y Municipios, </w:t>
      </w:r>
      <w:r w:rsidR="00EA03C6" w:rsidRPr="00D54F5D">
        <w:rPr>
          <w:rFonts w:ascii="Palatino Linotype" w:eastAsia="Calibri" w:hAnsi="Palatino Linotype" w:cs="Arial"/>
          <w:b/>
        </w:rPr>
        <w:t>REVOC</w:t>
      </w:r>
      <w:r w:rsidRPr="00D54F5D">
        <w:rPr>
          <w:rFonts w:ascii="Palatino Linotype" w:eastAsia="Calibri" w:hAnsi="Palatino Linotype" w:cs="Arial"/>
          <w:b/>
        </w:rPr>
        <w:t>AR</w:t>
      </w:r>
      <w:r w:rsidRPr="00D54F5D">
        <w:rPr>
          <w:rFonts w:ascii="Palatino Linotype" w:eastAsia="Calibri" w:hAnsi="Palatino Linotype" w:cs="Arial"/>
        </w:rPr>
        <w:t xml:space="preserve"> la respuesta proporcionada por </w:t>
      </w:r>
      <w:r w:rsidRPr="00D54F5D">
        <w:rPr>
          <w:rFonts w:ascii="Palatino Linotype" w:eastAsia="Calibri" w:hAnsi="Palatino Linotype" w:cs="Arial"/>
          <w:b/>
        </w:rPr>
        <w:t>EL SUJETO OBLIGADO</w:t>
      </w:r>
      <w:r w:rsidRPr="00D54F5D">
        <w:rPr>
          <w:rFonts w:ascii="Palatino Linotype" w:eastAsia="Calibri" w:hAnsi="Palatino Linotype" w:cs="Arial"/>
        </w:rPr>
        <w:t xml:space="preserve"> a la solicitud de información</w:t>
      </w:r>
      <w:r w:rsidR="00AB4DDB" w:rsidRPr="00D54F5D">
        <w:rPr>
          <w:rFonts w:ascii="Palatino Linotype" w:eastAsia="Calibri" w:hAnsi="Palatino Linotype" w:cs="Arial"/>
        </w:rPr>
        <w:t xml:space="preserve"> y ordenar la entrega de la que ha quedo establecida en párrafos que anteceden. </w:t>
      </w:r>
    </w:p>
    <w:p w:rsidR="00B32835" w:rsidRPr="00D54F5D" w:rsidRDefault="00B32835" w:rsidP="00AB4DD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4F5D">
        <w:rPr>
          <w:rFonts w:ascii="Palatino Linotype" w:eastAsia="Calibri" w:hAnsi="Palatino Linotype" w:cs="Arial"/>
        </w:rPr>
        <w:t xml:space="preserve">Así, con </w:t>
      </w:r>
      <w:r w:rsidRPr="00D54F5D">
        <w:rPr>
          <w:rFonts w:ascii="Palatino Linotype" w:hAnsi="Palatino Linotype" w:cs="Arial"/>
        </w:rPr>
        <w:t>fundamento</w:t>
      </w:r>
      <w:r w:rsidRPr="00D54F5D">
        <w:rPr>
          <w:rFonts w:ascii="Palatino Linotype" w:eastAsia="Calibri" w:hAnsi="Palatino Linotype" w:cs="Arial"/>
        </w:rPr>
        <w:t xml:space="preserve"> en lo prescrito en los artículos 5, </w:t>
      </w:r>
      <w:r w:rsidRPr="00D54F5D">
        <w:rPr>
          <w:rFonts w:ascii="Palatino Linotype" w:hAnsi="Palatino Linotype"/>
        </w:rPr>
        <w:t>párrafos vigésimo</w:t>
      </w:r>
      <w:r w:rsidR="002348F5">
        <w:rPr>
          <w:rFonts w:ascii="Palatino Linotype" w:hAnsi="Palatino Linotype"/>
        </w:rPr>
        <w:t xml:space="preserve"> segundo</w:t>
      </w:r>
      <w:r w:rsidRPr="00D54F5D">
        <w:rPr>
          <w:rFonts w:ascii="Palatino Linotype" w:hAnsi="Palatino Linotype"/>
        </w:rPr>
        <w:t xml:space="preserve">, vigésimo </w:t>
      </w:r>
      <w:r w:rsidR="002348F5">
        <w:rPr>
          <w:rFonts w:ascii="Palatino Linotype" w:hAnsi="Palatino Linotype"/>
        </w:rPr>
        <w:t xml:space="preserve">tercero </w:t>
      </w:r>
      <w:r w:rsidRPr="00D54F5D">
        <w:rPr>
          <w:rFonts w:ascii="Palatino Linotype" w:hAnsi="Palatino Linotype"/>
        </w:rPr>
        <w:t>y vigésimo</w:t>
      </w:r>
      <w:r w:rsidR="002348F5">
        <w:rPr>
          <w:rFonts w:ascii="Palatino Linotype" w:hAnsi="Palatino Linotype"/>
        </w:rPr>
        <w:t xml:space="preserve"> </w:t>
      </w:r>
      <w:r w:rsidR="002348F5">
        <w:rPr>
          <w:rFonts w:ascii="Palatino Linotype" w:hAnsi="Palatino Linotype" w:cs="Arial"/>
        </w:rPr>
        <w:t>cuarto</w:t>
      </w:r>
      <w:r w:rsidRPr="00D54F5D">
        <w:rPr>
          <w:rFonts w:ascii="Palatino Linotype" w:hAnsi="Palatino Linotype" w:cs="Arial"/>
        </w:rPr>
        <w:t>,</w:t>
      </w:r>
      <w:r w:rsidRPr="00D54F5D">
        <w:rPr>
          <w:rFonts w:ascii="Palatino Linotype" w:hAnsi="Palatino Linotype"/>
        </w:rPr>
        <w:t xml:space="preserve"> </w:t>
      </w:r>
      <w:r w:rsidRPr="00D54F5D">
        <w:rPr>
          <w:rFonts w:ascii="Palatino Linotype" w:hAnsi="Palatino Linotype" w:cs="Arial"/>
        </w:rPr>
        <w:t>fracciones</w:t>
      </w:r>
      <w:r w:rsidRPr="00D54F5D">
        <w:rPr>
          <w:rFonts w:ascii="Palatino Linotype" w:hAnsi="Palatino Linotype"/>
        </w:rPr>
        <w:t xml:space="preserve"> IV y V,</w:t>
      </w:r>
      <w:r w:rsidRPr="00D54F5D">
        <w:rPr>
          <w:rFonts w:ascii="Palatino Linotype" w:eastAsia="Calibri" w:hAnsi="Palatino Linotype" w:cs="Arial"/>
        </w:rPr>
        <w:t xml:space="preserve"> de la Constitución Política del Estado Libre y Soberano de México y los artículos </w:t>
      </w:r>
      <w:r w:rsidRPr="00D54F5D">
        <w:rPr>
          <w:rFonts w:ascii="Palatino Linotype" w:hAnsi="Palatino Linotype"/>
        </w:rPr>
        <w:t xml:space="preserve">2, </w:t>
      </w:r>
      <w:r w:rsidRPr="00D54F5D">
        <w:rPr>
          <w:rFonts w:ascii="Palatino Linotype" w:hAnsi="Palatino Linotype" w:cs="Arial"/>
        </w:rPr>
        <w:t>fracción</w:t>
      </w:r>
      <w:r w:rsidRPr="00D54F5D">
        <w:rPr>
          <w:rFonts w:ascii="Palatino Linotype" w:hAnsi="Palatino Linotype"/>
        </w:rPr>
        <w:t xml:space="preserve"> II, 9, </w:t>
      </w:r>
      <w:r w:rsidRPr="00D54F5D">
        <w:rPr>
          <w:rFonts w:ascii="Palatino Linotype" w:hAnsi="Palatino Linotype" w:cs="Arial"/>
          <w:lang w:val="es-ES_tradnl"/>
        </w:rPr>
        <w:t>29</w:t>
      </w:r>
      <w:r w:rsidRPr="00D54F5D">
        <w:rPr>
          <w:rFonts w:ascii="Palatino Linotype" w:hAnsi="Palatino Linotype"/>
        </w:rPr>
        <w:t xml:space="preserve">, 36, fracciones I y II, 176, 178, 179, 181, 185, fracción I, 186 y 188 </w:t>
      </w:r>
      <w:r w:rsidRPr="00D54F5D">
        <w:rPr>
          <w:rFonts w:ascii="Palatino Linotype" w:eastAsia="Calibri" w:hAnsi="Palatino Linotype" w:cs="Arial"/>
        </w:rPr>
        <w:t xml:space="preserve">de la Ley de Transparencia y Acceso a la Información Pública del Estado de México y </w:t>
      </w:r>
      <w:r w:rsidRPr="00D54F5D">
        <w:rPr>
          <w:rFonts w:ascii="Palatino Linotype" w:hAnsi="Palatino Linotype" w:cs="Arial"/>
        </w:rPr>
        <w:t>Municipios</w:t>
      </w:r>
      <w:r w:rsidRPr="00D54F5D">
        <w:rPr>
          <w:rFonts w:ascii="Palatino Linotype" w:eastAsia="Calibri" w:hAnsi="Palatino Linotype" w:cs="Arial"/>
        </w:rPr>
        <w:t xml:space="preserve">, </w:t>
      </w:r>
      <w:r w:rsidRPr="00D54F5D">
        <w:rPr>
          <w:rFonts w:ascii="Palatino Linotype" w:hAnsi="Palatino Linotype"/>
        </w:rPr>
        <w:t>este</w:t>
      </w:r>
      <w:r w:rsidRPr="00D54F5D">
        <w:rPr>
          <w:rFonts w:ascii="Palatino Linotype" w:eastAsia="Calibri" w:hAnsi="Palatino Linotype" w:cs="Arial"/>
        </w:rPr>
        <w:t xml:space="preserve"> Pleno:</w:t>
      </w:r>
    </w:p>
    <w:p w:rsidR="00026A84" w:rsidRDefault="00026A84" w:rsidP="00B32835">
      <w:pPr>
        <w:spacing w:before="240" w:after="100" w:afterAutospacing="1" w:line="360" w:lineRule="auto"/>
        <w:jc w:val="center"/>
        <w:rPr>
          <w:rFonts w:ascii="Palatino Linotype" w:hAnsi="Palatino Linotype"/>
          <w:b/>
          <w:bCs/>
          <w:spacing w:val="60"/>
          <w:sz w:val="28"/>
        </w:rPr>
      </w:pPr>
    </w:p>
    <w:p w:rsidR="00B32835" w:rsidRPr="00D54F5D" w:rsidRDefault="00B32835" w:rsidP="00B32835">
      <w:pPr>
        <w:spacing w:before="240" w:after="100" w:afterAutospacing="1" w:line="360" w:lineRule="auto"/>
        <w:jc w:val="center"/>
        <w:rPr>
          <w:rFonts w:ascii="Palatino Linotype" w:hAnsi="Palatino Linotype"/>
          <w:b/>
          <w:bCs/>
          <w:spacing w:val="60"/>
          <w:sz w:val="28"/>
        </w:rPr>
      </w:pPr>
      <w:r w:rsidRPr="00D54F5D">
        <w:rPr>
          <w:rFonts w:ascii="Palatino Linotype" w:hAnsi="Palatino Linotype"/>
          <w:b/>
          <w:bCs/>
          <w:spacing w:val="60"/>
          <w:sz w:val="28"/>
        </w:rPr>
        <w:lastRenderedPageBreak/>
        <w:t>RESUELVE</w:t>
      </w:r>
    </w:p>
    <w:p w:rsidR="00B32835" w:rsidRPr="00D54F5D" w:rsidRDefault="00B32835" w:rsidP="00B32835">
      <w:pPr>
        <w:spacing w:before="240" w:after="240" w:line="360" w:lineRule="auto"/>
        <w:jc w:val="both"/>
        <w:rPr>
          <w:rFonts w:ascii="Palatino Linotype" w:hAnsi="Palatino Linotype" w:cs="Arial"/>
        </w:rPr>
      </w:pPr>
      <w:r w:rsidRPr="00D54F5D">
        <w:rPr>
          <w:rFonts w:ascii="Palatino Linotype" w:hAnsi="Palatino Linotype" w:cs="Arial"/>
          <w:b/>
          <w:sz w:val="28"/>
          <w:szCs w:val="28"/>
        </w:rPr>
        <w:t>PRIMERO</w:t>
      </w:r>
      <w:r w:rsidRPr="00D54F5D">
        <w:rPr>
          <w:rFonts w:ascii="Palatino Linotype" w:hAnsi="Palatino Linotype" w:cs="Arial"/>
          <w:sz w:val="28"/>
          <w:szCs w:val="28"/>
        </w:rPr>
        <w:t>.</w:t>
      </w:r>
      <w:r w:rsidRPr="00D54F5D">
        <w:rPr>
          <w:rFonts w:ascii="Palatino Linotype" w:hAnsi="Palatino Linotype" w:cs="Arial"/>
        </w:rPr>
        <w:t xml:space="preserve"> Resultan </w:t>
      </w:r>
      <w:r w:rsidRPr="00D54F5D">
        <w:rPr>
          <w:rFonts w:ascii="Palatino Linotype" w:hAnsi="Palatino Linotype" w:cs="Arial"/>
          <w:b/>
        </w:rPr>
        <w:t>fundadas</w:t>
      </w:r>
      <w:r w:rsidRPr="00D54F5D">
        <w:rPr>
          <w:rFonts w:ascii="Palatino Linotype" w:hAnsi="Palatino Linotype" w:cs="Arial"/>
        </w:rPr>
        <w:t xml:space="preserve"> las razones o motivos de inconformidad planteadas por </w:t>
      </w:r>
      <w:r w:rsidRPr="00D54F5D">
        <w:rPr>
          <w:rFonts w:ascii="Palatino Linotype" w:hAnsi="Palatino Linotype" w:cs="Arial"/>
          <w:b/>
        </w:rPr>
        <w:t>EL RECURRENTE</w:t>
      </w:r>
      <w:r w:rsidRPr="00D54F5D">
        <w:rPr>
          <w:rFonts w:ascii="Palatino Linotype" w:hAnsi="Palatino Linotype" w:cs="Arial"/>
        </w:rPr>
        <w:t xml:space="preserve">, en términos del Considerando </w:t>
      </w:r>
      <w:r w:rsidRPr="00D54F5D">
        <w:rPr>
          <w:rFonts w:ascii="Palatino Linotype" w:hAnsi="Palatino Linotype" w:cs="Arial"/>
          <w:b/>
        </w:rPr>
        <w:t>QUINTO</w:t>
      </w:r>
      <w:r w:rsidRPr="00D54F5D">
        <w:rPr>
          <w:rFonts w:ascii="Palatino Linotype" w:hAnsi="Palatino Linotype" w:cs="Arial"/>
        </w:rPr>
        <w:t xml:space="preserve"> de la presente resolución.</w:t>
      </w:r>
    </w:p>
    <w:p w:rsidR="00AB4DDB" w:rsidRPr="00D54F5D" w:rsidRDefault="00B32835" w:rsidP="00AB4DDB">
      <w:pPr>
        <w:spacing w:before="100" w:beforeAutospacing="1" w:after="100" w:afterAutospacing="1" w:line="360" w:lineRule="auto"/>
        <w:jc w:val="both"/>
        <w:rPr>
          <w:rFonts w:ascii="Palatino Linotype" w:hAnsi="Palatino Linotype"/>
          <w:shd w:val="clear" w:color="auto" w:fill="FFFFFF"/>
        </w:rPr>
      </w:pPr>
      <w:r w:rsidRPr="00D54F5D">
        <w:rPr>
          <w:rFonts w:ascii="Palatino Linotype" w:hAnsi="Palatino Linotype" w:cs="Arial"/>
          <w:b/>
          <w:sz w:val="28"/>
          <w:szCs w:val="28"/>
        </w:rPr>
        <w:t>SEGUNDO</w:t>
      </w:r>
      <w:r w:rsidRPr="00D54F5D">
        <w:rPr>
          <w:rFonts w:ascii="Palatino Linotype" w:hAnsi="Palatino Linotype" w:cs="Arial"/>
          <w:sz w:val="28"/>
          <w:szCs w:val="28"/>
        </w:rPr>
        <w:t>.</w:t>
      </w:r>
      <w:r w:rsidRPr="00D54F5D">
        <w:rPr>
          <w:rFonts w:ascii="Palatino Linotype" w:hAnsi="Palatino Linotype" w:cs="Arial"/>
        </w:rPr>
        <w:t xml:space="preserve"> </w:t>
      </w:r>
      <w:r w:rsidR="00AB4DDB" w:rsidRPr="00D54F5D">
        <w:rPr>
          <w:rFonts w:ascii="Palatino Linotype" w:eastAsia="Calibri" w:hAnsi="Palatino Linotype" w:cs="Arial"/>
          <w:bCs/>
        </w:rPr>
        <w:t>Se</w:t>
      </w:r>
      <w:r w:rsidR="00AB4DDB" w:rsidRPr="00D54F5D">
        <w:rPr>
          <w:rFonts w:ascii="Palatino Linotype" w:eastAsia="Calibri" w:hAnsi="Palatino Linotype" w:cs="Arial"/>
          <w:b/>
          <w:bCs/>
        </w:rPr>
        <w:t xml:space="preserve"> </w:t>
      </w:r>
      <w:r w:rsidR="00AB4DDB" w:rsidRPr="00D54F5D">
        <w:rPr>
          <w:rFonts w:ascii="Palatino Linotype" w:eastAsia="Calibri" w:hAnsi="Palatino Linotype" w:cs="Arial"/>
          <w:b/>
        </w:rPr>
        <w:t xml:space="preserve">REVOCA </w:t>
      </w:r>
      <w:r w:rsidR="00AB4DDB" w:rsidRPr="00D54F5D">
        <w:rPr>
          <w:rFonts w:ascii="Palatino Linotype" w:eastAsia="Calibri" w:hAnsi="Palatino Linotype" w:cs="Arial"/>
        </w:rPr>
        <w:t xml:space="preserve">la respuesta del </w:t>
      </w:r>
      <w:r w:rsidR="00AB4DDB" w:rsidRPr="00D54F5D">
        <w:rPr>
          <w:rFonts w:ascii="Palatino Linotype" w:eastAsia="Calibri" w:hAnsi="Palatino Linotype" w:cs="Arial"/>
          <w:b/>
        </w:rPr>
        <w:t xml:space="preserve">SUJETO OBLIGADO </w:t>
      </w:r>
      <w:r w:rsidR="00AB4DDB" w:rsidRPr="00D54F5D">
        <w:rPr>
          <w:rFonts w:ascii="Palatino Linotype" w:eastAsia="Calibri" w:hAnsi="Palatino Linotype" w:cs="Arial"/>
        </w:rPr>
        <w:t xml:space="preserve">y se ordena atienda la solicitud de información </w:t>
      </w:r>
      <w:r w:rsidR="00AB4DDB" w:rsidRPr="00D54F5D">
        <w:rPr>
          <w:rFonts w:ascii="Palatino Linotype" w:eastAsia="Calibri" w:hAnsi="Palatino Linotype" w:cs="Arial"/>
          <w:b/>
        </w:rPr>
        <w:t>00149/METEPEC/IP/2019</w:t>
      </w:r>
      <w:r w:rsidR="00AB4DDB" w:rsidRPr="00D54F5D">
        <w:rPr>
          <w:rFonts w:ascii="Palatino Linotype" w:hAnsi="Palatino Linotype" w:cs="Arial"/>
        </w:rPr>
        <w:t xml:space="preserve">, en términos del Considerando </w:t>
      </w:r>
      <w:r w:rsidR="00AB4DDB" w:rsidRPr="00D54F5D">
        <w:rPr>
          <w:rFonts w:ascii="Palatino Linotype" w:hAnsi="Palatino Linotype" w:cs="Arial"/>
          <w:b/>
        </w:rPr>
        <w:t>QUINTO</w:t>
      </w:r>
      <w:r w:rsidR="00AB4DDB" w:rsidRPr="00D54F5D">
        <w:rPr>
          <w:rFonts w:ascii="Palatino Linotype" w:hAnsi="Palatino Linotype" w:cs="Arial"/>
        </w:rPr>
        <w:t xml:space="preserve"> y, haga entrega al </w:t>
      </w:r>
      <w:r w:rsidR="00AB4DDB" w:rsidRPr="00D54F5D">
        <w:rPr>
          <w:rFonts w:ascii="Palatino Linotype" w:hAnsi="Palatino Linotype" w:cs="Arial"/>
          <w:b/>
        </w:rPr>
        <w:t>RECURRENTE</w:t>
      </w:r>
      <w:r w:rsidR="00AB4DDB" w:rsidRPr="00D54F5D">
        <w:rPr>
          <w:rFonts w:ascii="Palatino Linotype" w:hAnsi="Palatino Linotype" w:cs="Arial"/>
        </w:rPr>
        <w:t xml:space="preserve">, previa </w:t>
      </w:r>
      <w:r w:rsidR="00AB4DDB" w:rsidRPr="00D54F5D">
        <w:rPr>
          <w:rFonts w:ascii="Palatino Linotype" w:hAnsi="Palatino Linotype" w:cs="Arial"/>
          <w:b/>
        </w:rPr>
        <w:t xml:space="preserve">búsqueda exhaustiva y razonable, </w:t>
      </w:r>
      <w:r w:rsidR="00AB4DDB" w:rsidRPr="00D54F5D">
        <w:rPr>
          <w:rFonts w:ascii="Palatino Linotype" w:hAnsi="Palatino Linotype" w:cs="Arial"/>
        </w:rPr>
        <w:t xml:space="preserve">vía </w:t>
      </w:r>
      <w:r w:rsidR="00AB4DDB" w:rsidRPr="00D54F5D">
        <w:rPr>
          <w:rFonts w:ascii="Palatino Linotype" w:hAnsi="Palatino Linotype" w:cs="Arial"/>
          <w:b/>
        </w:rPr>
        <w:t>SAIMEX</w:t>
      </w:r>
      <w:r w:rsidR="00FD1669" w:rsidRPr="00D54F5D">
        <w:rPr>
          <w:rFonts w:ascii="Palatino Linotype" w:hAnsi="Palatino Linotype" w:cs="Arial"/>
          <w:b/>
        </w:rPr>
        <w:t>,</w:t>
      </w:r>
      <w:r w:rsidR="00AB4DDB" w:rsidRPr="00D54F5D">
        <w:rPr>
          <w:rFonts w:ascii="Palatino Linotype" w:hAnsi="Palatino Linotype" w:cs="Arial"/>
          <w:b/>
        </w:rPr>
        <w:t xml:space="preserve"> </w:t>
      </w:r>
      <w:r w:rsidR="00FD1669" w:rsidRPr="00D54F5D">
        <w:rPr>
          <w:rFonts w:ascii="Palatino Linotype" w:hAnsi="Palatino Linotype"/>
          <w:bCs/>
        </w:rPr>
        <w:t>en el formato en que se encuentre</w:t>
      </w:r>
      <w:r w:rsidR="00FD1669" w:rsidRPr="00D54F5D">
        <w:rPr>
          <w:rFonts w:ascii="Palatino Linotype" w:hAnsi="Palatino Linotype" w:cs="Arial"/>
          <w:lang w:val="es-ES"/>
        </w:rPr>
        <w:t xml:space="preserve"> </w:t>
      </w:r>
      <w:r w:rsidR="00AB4DDB" w:rsidRPr="00D54F5D">
        <w:rPr>
          <w:rFonts w:ascii="Palatino Linotype" w:hAnsi="Palatino Linotype" w:cs="Arial"/>
        </w:rPr>
        <w:t xml:space="preserve">y en </w:t>
      </w:r>
      <w:r w:rsidR="00AB4DDB" w:rsidRPr="00D54F5D">
        <w:rPr>
          <w:rFonts w:ascii="Palatino Linotype" w:hAnsi="Palatino Linotype" w:cs="Arial"/>
          <w:b/>
        </w:rPr>
        <w:t xml:space="preserve">versión pública </w:t>
      </w:r>
      <w:r w:rsidR="00AB4DDB" w:rsidRPr="00D54F5D">
        <w:rPr>
          <w:rFonts w:ascii="Palatino Linotype" w:hAnsi="Palatino Linotype" w:cs="Arial"/>
        </w:rPr>
        <w:t>de lo</w:t>
      </w:r>
      <w:r w:rsidR="00AB4DDB" w:rsidRPr="00D54F5D">
        <w:rPr>
          <w:rFonts w:ascii="Palatino Linotype" w:hAnsi="Palatino Linotype" w:cs="Arial"/>
          <w:b/>
        </w:rPr>
        <w:t xml:space="preserve"> </w:t>
      </w:r>
      <w:r w:rsidR="00AB4DDB" w:rsidRPr="00D54F5D">
        <w:rPr>
          <w:rFonts w:ascii="Palatino Linotype" w:hAnsi="Palatino Linotype" w:cs="Arial"/>
        </w:rPr>
        <w:t>siguiente</w:t>
      </w:r>
      <w:r w:rsidR="00AB4DDB" w:rsidRPr="00D54F5D">
        <w:rPr>
          <w:rFonts w:ascii="Palatino Linotype" w:hAnsi="Palatino Linotype"/>
          <w:shd w:val="clear" w:color="auto" w:fill="FFFFFF"/>
        </w:rPr>
        <w:t>:</w:t>
      </w:r>
    </w:p>
    <w:p w:rsidR="00AB4DDB" w:rsidRPr="00D54F5D" w:rsidRDefault="00AB4DDB" w:rsidP="00D54F5D">
      <w:pPr>
        <w:spacing w:line="276" w:lineRule="auto"/>
        <w:ind w:left="851" w:right="902"/>
        <w:contextualSpacing/>
        <w:jc w:val="both"/>
        <w:rPr>
          <w:rFonts w:ascii="Palatino Linotype" w:hAnsi="Palatino Linotype" w:cs="Arial"/>
          <w:i/>
          <w:sz w:val="22"/>
          <w:szCs w:val="22"/>
        </w:rPr>
      </w:pPr>
      <w:r w:rsidRPr="00D54F5D">
        <w:rPr>
          <w:rFonts w:ascii="Palatino Linotype" w:hAnsi="Palatino Linotype" w:cs="Arial"/>
          <w:i/>
          <w:sz w:val="22"/>
          <w:szCs w:val="22"/>
        </w:rPr>
        <w:t>“Las licencias, permisos o autorizaciones otorgados a los establecimientos ubicados dentro de la denominada “Ciudad Típica de Metepec” del 1 de enero de 2016 al 1 de abril de 2019.</w:t>
      </w:r>
    </w:p>
    <w:p w:rsidR="00AB4DDB" w:rsidRPr="00D54F5D" w:rsidRDefault="00AB4DDB" w:rsidP="00AB4DDB">
      <w:pPr>
        <w:spacing w:line="276" w:lineRule="auto"/>
        <w:ind w:left="851" w:right="902" w:hanging="142"/>
        <w:contextualSpacing/>
        <w:jc w:val="both"/>
        <w:rPr>
          <w:rFonts w:ascii="Palatino Linotype" w:hAnsi="Palatino Linotype" w:cs="Arial"/>
          <w:i/>
          <w:sz w:val="22"/>
          <w:szCs w:val="22"/>
        </w:rPr>
      </w:pPr>
    </w:p>
    <w:p w:rsidR="00AB4DDB" w:rsidRPr="00D54F5D" w:rsidRDefault="00AB4DDB" w:rsidP="00AB4DDB">
      <w:pPr>
        <w:spacing w:line="276" w:lineRule="auto"/>
        <w:ind w:left="851" w:right="902"/>
        <w:contextualSpacing/>
        <w:jc w:val="both"/>
        <w:rPr>
          <w:rFonts w:ascii="Palatino Linotype" w:hAnsi="Palatino Linotype" w:cs="Arial"/>
          <w:i/>
          <w:sz w:val="22"/>
          <w:szCs w:val="22"/>
        </w:rPr>
      </w:pPr>
      <w:r w:rsidRPr="00D54F5D">
        <w:rPr>
          <w:rFonts w:ascii="Palatino Linotype" w:hAnsi="Palatino Linotype" w:cs="Arial"/>
          <w:i/>
          <w:sz w:val="22"/>
          <w:szCs w:val="22"/>
          <w:lang w:eastAsia="es-MX"/>
        </w:rPr>
        <w:t>Debiendo</w:t>
      </w:r>
      <w:r w:rsidRPr="00D54F5D">
        <w:rPr>
          <w:rFonts w:ascii="Palatino Linotype" w:hAnsi="Palatino Linotype" w:cs="Arial"/>
          <w:i/>
          <w:sz w:val="22"/>
          <w:szCs w:val="22"/>
        </w:rPr>
        <w:t xml:space="preserve"> notificar al </w:t>
      </w:r>
      <w:r w:rsidRPr="00D54F5D">
        <w:rPr>
          <w:rFonts w:ascii="Palatino Linotype" w:hAnsi="Palatino Linotype" w:cs="Arial"/>
          <w:b/>
          <w:i/>
          <w:sz w:val="22"/>
          <w:szCs w:val="22"/>
        </w:rPr>
        <w:t>RECURRENTE</w:t>
      </w:r>
      <w:r w:rsidRPr="00D54F5D">
        <w:rPr>
          <w:rFonts w:ascii="Palatino Linotype" w:hAnsi="Palatino Linotype" w:cs="Arial"/>
          <w:i/>
          <w:sz w:val="22"/>
          <w:szCs w:val="22"/>
        </w:rPr>
        <w:t xml:space="preserve"> el Acuerdo de Clasificación de la información que emita en su caso el Comité de Transparencia con motivo de la versión pública.</w:t>
      </w:r>
    </w:p>
    <w:p w:rsidR="00AB4DDB" w:rsidRPr="00D54F5D" w:rsidRDefault="00AB4DDB" w:rsidP="00AB4DDB">
      <w:pPr>
        <w:spacing w:line="276" w:lineRule="auto"/>
        <w:ind w:left="851" w:right="902"/>
        <w:contextualSpacing/>
        <w:jc w:val="both"/>
        <w:rPr>
          <w:rFonts w:ascii="Palatino Linotype" w:hAnsi="Palatino Linotype" w:cs="Arial"/>
          <w:i/>
          <w:sz w:val="22"/>
          <w:szCs w:val="22"/>
        </w:rPr>
      </w:pPr>
    </w:p>
    <w:p w:rsidR="00AB4DDB" w:rsidRPr="00D54F5D" w:rsidRDefault="00AB4DDB" w:rsidP="00AB4DDB">
      <w:pPr>
        <w:spacing w:line="276" w:lineRule="auto"/>
        <w:ind w:left="851" w:right="899"/>
        <w:jc w:val="both"/>
        <w:rPr>
          <w:rFonts w:ascii="Palatino Linotype" w:hAnsi="Palatino Linotype"/>
          <w:i/>
          <w:sz w:val="22"/>
          <w:szCs w:val="22"/>
        </w:rPr>
      </w:pPr>
      <w:r w:rsidRPr="00D54F5D">
        <w:rPr>
          <w:rFonts w:ascii="Palatino Linotype" w:hAnsi="Palatino Linotype"/>
          <w:i/>
          <w:sz w:val="22"/>
          <w:szCs w:val="22"/>
        </w:rPr>
        <w:t>Para el caso de que</w:t>
      </w:r>
      <w:r w:rsidRPr="00D54F5D">
        <w:rPr>
          <w:rFonts w:ascii="Palatino Linotype" w:hAnsi="Palatino Linotype"/>
          <w:b/>
          <w:i/>
          <w:sz w:val="22"/>
          <w:szCs w:val="22"/>
        </w:rPr>
        <w:t xml:space="preserve"> EL SUJETO OBLIGADO </w:t>
      </w:r>
      <w:r w:rsidRPr="00D54F5D">
        <w:rPr>
          <w:rFonts w:ascii="Palatino Linotype" w:hAnsi="Palatino Linotype"/>
          <w:i/>
          <w:sz w:val="22"/>
          <w:szCs w:val="22"/>
        </w:rPr>
        <w:t xml:space="preserve">no localizara la información de la que se ordena su entrega, su deberá notificar al </w:t>
      </w:r>
      <w:r w:rsidRPr="00D54F5D">
        <w:rPr>
          <w:rFonts w:ascii="Palatino Linotype" w:hAnsi="Palatino Linotype"/>
          <w:b/>
          <w:i/>
          <w:sz w:val="22"/>
          <w:szCs w:val="22"/>
        </w:rPr>
        <w:t xml:space="preserve">RECURRENTE </w:t>
      </w:r>
      <w:r w:rsidRPr="00D54F5D">
        <w:rPr>
          <w:rFonts w:ascii="Palatino Linotype" w:hAnsi="Palatino Linotype"/>
          <w:i/>
          <w:sz w:val="22"/>
          <w:szCs w:val="22"/>
        </w:rPr>
        <w:t>el Acuerdo de Inexistencia en términos de los artículos 49, fracciones II y XIII, 169 y 170 de la Ley de Transparencia y Acceso a la Información Pública del Estado de México y Municipios que al respecto emita su Comité de Transparencia.</w:t>
      </w:r>
      <w:r w:rsidRPr="00D54F5D">
        <w:rPr>
          <w:rFonts w:ascii="Palatino Linotype" w:hAnsi="Palatino Linotype"/>
          <w:i/>
          <w:iCs/>
          <w:color w:val="222222"/>
          <w:sz w:val="22"/>
          <w:szCs w:val="22"/>
          <w:shd w:val="clear" w:color="auto" w:fill="FFFFFF"/>
        </w:rPr>
        <w:t>”</w:t>
      </w:r>
    </w:p>
    <w:p w:rsidR="00AB4DDB" w:rsidRPr="00D54F5D" w:rsidRDefault="00B32835" w:rsidP="00AB4DDB">
      <w:pPr>
        <w:spacing w:before="100" w:beforeAutospacing="1" w:after="100" w:afterAutospacing="1" w:line="360" w:lineRule="auto"/>
        <w:jc w:val="both"/>
        <w:rPr>
          <w:rFonts w:ascii="Palatino Linotype" w:hAnsi="Palatino Linotype"/>
          <w:color w:val="222222"/>
          <w:shd w:val="clear" w:color="auto" w:fill="FFFFFF"/>
        </w:rPr>
      </w:pPr>
      <w:r w:rsidRPr="00D54F5D">
        <w:rPr>
          <w:rFonts w:ascii="Palatino Linotype" w:eastAsia="Calibri" w:hAnsi="Palatino Linotype" w:cs="Arial"/>
          <w:b/>
          <w:sz w:val="28"/>
          <w:szCs w:val="28"/>
        </w:rPr>
        <w:t>TERCERO</w:t>
      </w:r>
      <w:r w:rsidRPr="00D54F5D">
        <w:rPr>
          <w:rFonts w:ascii="Palatino Linotype" w:eastAsia="Calibri" w:hAnsi="Palatino Linotype" w:cs="Arial"/>
          <w:b/>
        </w:rPr>
        <w:t>. Notifíquese</w:t>
      </w:r>
      <w:r w:rsidRPr="00D54F5D">
        <w:rPr>
          <w:rFonts w:ascii="Palatino Linotype" w:eastAsia="Calibri" w:hAnsi="Palatino Linotype" w:cs="Arial"/>
        </w:rPr>
        <w:t xml:space="preserve"> </w:t>
      </w:r>
      <w:r w:rsidR="00AB4DDB" w:rsidRPr="00D54F5D">
        <w:rPr>
          <w:rFonts w:ascii="Palatino Linotype" w:hAnsi="Palatino Linotype"/>
          <w:color w:val="222222"/>
          <w:shd w:val="clear" w:color="auto" w:fill="FFFFFF"/>
        </w:rPr>
        <w:t>al Titular de la Unidad de Transparencia del</w:t>
      </w:r>
      <w:r w:rsidR="00AB4DDB" w:rsidRPr="00D54F5D">
        <w:rPr>
          <w:rFonts w:ascii="Palatino Linotype" w:hAnsi="Palatino Linotype"/>
          <w:b/>
          <w:color w:val="222222"/>
          <w:shd w:val="clear" w:color="auto" w:fill="FFFFFF"/>
        </w:rPr>
        <w:t> SUJETO OBLIGADO</w:t>
      </w:r>
      <w:r w:rsidR="00AB4DDB" w:rsidRPr="00D54F5D">
        <w:rPr>
          <w:rFonts w:ascii="Palatino Linotype" w:hAnsi="Palatino Linotype"/>
          <w:color w:val="222222"/>
          <w:shd w:val="clear" w:color="auto" w:fill="FFFFFF"/>
        </w:rPr>
        <w:t xml:space="preserve">, para que conforme a los artículos 186, último párrafo y 189, párrafo segundo de la Ley de </w:t>
      </w:r>
      <w:r w:rsidR="00AB4DDB" w:rsidRPr="00D54F5D">
        <w:rPr>
          <w:rFonts w:ascii="Palatino Linotype" w:hAnsi="Palatino Linotype" w:cs="Arial"/>
        </w:rPr>
        <w:t>Transparencia</w:t>
      </w:r>
      <w:r w:rsidR="00AB4DDB" w:rsidRPr="00D54F5D">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00AB4DDB" w:rsidRPr="00D54F5D">
        <w:rPr>
          <w:rFonts w:ascii="Palatino Linotype" w:hAnsi="Palatino Linotype"/>
          <w:color w:val="222222"/>
          <w:lang w:eastAsia="es-ES_tradnl"/>
        </w:rPr>
        <w:t>de</w:t>
      </w:r>
      <w:r w:rsidR="00AB4DDB" w:rsidRPr="00D54F5D">
        <w:rPr>
          <w:rFonts w:ascii="Palatino Linotype" w:hAnsi="Palatino Linotype"/>
          <w:color w:val="222222"/>
          <w:shd w:val="clear" w:color="auto" w:fill="FFFFFF"/>
        </w:rPr>
        <w:t xml:space="preserve"> tres días hábiles siguientes sobre el cumplimiento dado a la presente resolución.</w:t>
      </w:r>
    </w:p>
    <w:p w:rsidR="00B32835" w:rsidRPr="00D54F5D" w:rsidRDefault="00B32835" w:rsidP="00AB4DDB">
      <w:pPr>
        <w:spacing w:before="240" w:after="240" w:line="360" w:lineRule="auto"/>
        <w:jc w:val="both"/>
        <w:rPr>
          <w:rFonts w:ascii="Palatino Linotype" w:eastAsia="Calibri" w:hAnsi="Palatino Linotype" w:cs="Arial"/>
        </w:rPr>
      </w:pPr>
      <w:r w:rsidRPr="00D54F5D">
        <w:rPr>
          <w:rFonts w:ascii="Palatino Linotype" w:eastAsia="Calibri" w:hAnsi="Palatino Linotype" w:cs="Arial"/>
          <w:b/>
          <w:sz w:val="28"/>
          <w:szCs w:val="28"/>
        </w:rPr>
        <w:lastRenderedPageBreak/>
        <w:t>CUARTO</w:t>
      </w:r>
      <w:r w:rsidRPr="00D54F5D">
        <w:rPr>
          <w:rFonts w:ascii="Palatino Linotype" w:eastAsia="Calibri" w:hAnsi="Palatino Linotype" w:cs="Arial"/>
        </w:rPr>
        <w:t xml:space="preserve">. Notifíquese al </w:t>
      </w:r>
      <w:r w:rsidRPr="00D54F5D">
        <w:rPr>
          <w:rFonts w:ascii="Palatino Linotype" w:eastAsia="Calibri" w:hAnsi="Palatino Linotype" w:cs="Arial"/>
          <w:b/>
        </w:rPr>
        <w:t>RECURRENTE</w:t>
      </w:r>
      <w:r w:rsidRPr="00D54F5D">
        <w:rPr>
          <w:rFonts w:ascii="Palatino Linotype" w:eastAsia="Calibri" w:hAnsi="Palatino Linotype" w:cs="Arial"/>
        </w:rPr>
        <w:t xml:space="preserve"> la presente resolución.</w:t>
      </w:r>
    </w:p>
    <w:p w:rsidR="00B32835" w:rsidRPr="00EC232D" w:rsidRDefault="00B32835" w:rsidP="00B3283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54F5D">
        <w:rPr>
          <w:rFonts w:ascii="Palatino Linotype" w:eastAsia="Calibri" w:hAnsi="Palatino Linotype" w:cs="Arial"/>
          <w:b/>
          <w:sz w:val="28"/>
          <w:szCs w:val="28"/>
        </w:rPr>
        <w:t>QUINTO</w:t>
      </w:r>
      <w:r w:rsidRPr="00D54F5D">
        <w:rPr>
          <w:rFonts w:ascii="Palatino Linotype" w:eastAsia="Calibri" w:hAnsi="Palatino Linotype" w:cs="Arial"/>
        </w:rPr>
        <w:t xml:space="preserve">. Hágase del conocimiento del </w:t>
      </w:r>
      <w:r w:rsidRPr="00D54F5D">
        <w:rPr>
          <w:rFonts w:ascii="Palatino Linotype" w:eastAsia="Calibri" w:hAnsi="Palatino Linotype" w:cs="Arial"/>
          <w:b/>
        </w:rPr>
        <w:t>RECURRENTE</w:t>
      </w:r>
      <w:r w:rsidRPr="00D54F5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26A84" w:rsidRDefault="00026A84" w:rsidP="00026A84">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rsidR="00B32835" w:rsidRPr="005E7982" w:rsidRDefault="00B32835" w:rsidP="00B32835">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B32835" w:rsidRPr="005E7982" w:rsidTr="00296821">
        <w:trPr>
          <w:jc w:val="center"/>
        </w:trPr>
        <w:tc>
          <w:tcPr>
            <w:tcW w:w="10365" w:type="dxa"/>
            <w:gridSpan w:val="2"/>
          </w:tcPr>
          <w:p w:rsidR="00B32835" w:rsidRPr="005E7982" w:rsidRDefault="00B32835" w:rsidP="00026A84">
            <w:pPr>
              <w:rPr>
                <w:rFonts w:ascii="Palatino Linotype" w:hAnsi="Palatino Linotype" w:cs="Arial"/>
                <w:b/>
              </w:rPr>
            </w:pPr>
          </w:p>
          <w:p w:rsidR="00B32835" w:rsidRDefault="00B32835" w:rsidP="00296821">
            <w:pPr>
              <w:jc w:val="center"/>
              <w:rPr>
                <w:rFonts w:ascii="Palatino Linotype" w:hAnsi="Palatino Linotype" w:cs="Arial"/>
                <w:b/>
              </w:rPr>
            </w:pPr>
          </w:p>
          <w:p w:rsidR="00AB4DDB" w:rsidRDefault="00AB4DDB" w:rsidP="00296821">
            <w:pPr>
              <w:jc w:val="center"/>
              <w:rPr>
                <w:rFonts w:ascii="Palatino Linotype" w:hAnsi="Palatino Linotype" w:cs="Arial"/>
                <w:b/>
              </w:rPr>
            </w:pPr>
          </w:p>
          <w:p w:rsidR="00AB4DDB" w:rsidRDefault="00AB4DDB" w:rsidP="00296821">
            <w:pPr>
              <w:jc w:val="center"/>
              <w:rPr>
                <w:rFonts w:ascii="Palatino Linotype" w:hAnsi="Palatino Linotype" w:cs="Arial"/>
                <w:b/>
              </w:rPr>
            </w:pPr>
          </w:p>
          <w:p w:rsidR="00AB4DDB" w:rsidRPr="005E7982" w:rsidRDefault="00AB4DDB"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Zulema Martínez Sánchez</w:t>
            </w:r>
          </w:p>
          <w:p w:rsidR="00B32835" w:rsidRPr="005E7982" w:rsidRDefault="00B32835" w:rsidP="00296821">
            <w:pPr>
              <w:jc w:val="center"/>
              <w:rPr>
                <w:rFonts w:ascii="Palatino Linotype" w:hAnsi="Palatino Linotype" w:cs="Arial"/>
                <w:b/>
              </w:rPr>
            </w:pPr>
            <w:r w:rsidRPr="005E7982">
              <w:rPr>
                <w:rFonts w:ascii="Palatino Linotype" w:hAnsi="Palatino Linotype" w:cs="Arial"/>
              </w:rPr>
              <w:t>Comisionada Presidenta</w:t>
            </w: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 xml:space="preserve">(RÚBRICA) </w:t>
            </w:r>
          </w:p>
        </w:tc>
      </w:tr>
      <w:tr w:rsidR="00B32835" w:rsidRPr="005E7982" w:rsidTr="00296821">
        <w:trPr>
          <w:jc w:val="center"/>
        </w:trPr>
        <w:tc>
          <w:tcPr>
            <w:tcW w:w="5182" w:type="dxa"/>
          </w:tcPr>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026A84" w:rsidRDefault="00026A84" w:rsidP="00296821">
            <w:pPr>
              <w:jc w:val="center"/>
              <w:rPr>
                <w:rFonts w:ascii="Palatino Linotype" w:hAnsi="Palatino Linotype" w:cs="Arial"/>
                <w:b/>
              </w:rPr>
            </w:pPr>
          </w:p>
          <w:p w:rsidR="00026A84" w:rsidRDefault="00026A84" w:rsidP="00296821">
            <w:pPr>
              <w:jc w:val="center"/>
              <w:rPr>
                <w:rFonts w:ascii="Palatino Linotype" w:hAnsi="Palatino Linotype" w:cs="Arial"/>
                <w:b/>
              </w:rPr>
            </w:pPr>
          </w:p>
          <w:p w:rsidR="00026A84" w:rsidRPr="005E7982" w:rsidRDefault="00026A84"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Eva Abaid Yapur</w:t>
            </w:r>
          </w:p>
          <w:p w:rsidR="00B32835" w:rsidRPr="005E7982" w:rsidRDefault="00B32835" w:rsidP="00296821">
            <w:pPr>
              <w:jc w:val="center"/>
              <w:rPr>
                <w:rFonts w:ascii="Palatino Linotype" w:hAnsi="Palatino Linotype" w:cs="Arial"/>
              </w:rPr>
            </w:pPr>
            <w:r w:rsidRPr="005E7982">
              <w:rPr>
                <w:rFonts w:ascii="Palatino Linotype" w:hAnsi="Palatino Linotype" w:cs="Arial"/>
              </w:rPr>
              <w:t>Comisionada</w:t>
            </w: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(RÚBRICA)</w:t>
            </w:r>
          </w:p>
        </w:tc>
        <w:tc>
          <w:tcPr>
            <w:tcW w:w="5183" w:type="dxa"/>
          </w:tcPr>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026A84" w:rsidRDefault="00026A84" w:rsidP="00296821">
            <w:pPr>
              <w:jc w:val="center"/>
              <w:rPr>
                <w:rFonts w:ascii="Palatino Linotype" w:hAnsi="Palatino Linotype" w:cs="Arial"/>
                <w:b/>
              </w:rPr>
            </w:pPr>
          </w:p>
          <w:p w:rsidR="00026A84" w:rsidRDefault="00026A84" w:rsidP="00296821">
            <w:pPr>
              <w:jc w:val="center"/>
              <w:rPr>
                <w:rFonts w:ascii="Palatino Linotype" w:hAnsi="Palatino Linotype" w:cs="Arial"/>
                <w:b/>
              </w:rPr>
            </w:pPr>
          </w:p>
          <w:p w:rsidR="00026A84" w:rsidRPr="005E7982" w:rsidRDefault="00026A84"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José Guadalupe Luna Hernández</w:t>
            </w:r>
          </w:p>
          <w:p w:rsidR="00B32835" w:rsidRPr="005E7982" w:rsidRDefault="00B32835" w:rsidP="00296821">
            <w:pPr>
              <w:jc w:val="center"/>
              <w:rPr>
                <w:rFonts w:ascii="Palatino Linotype" w:hAnsi="Palatino Linotype" w:cs="Arial"/>
              </w:rPr>
            </w:pPr>
            <w:r w:rsidRPr="005E7982">
              <w:rPr>
                <w:rFonts w:ascii="Palatino Linotype" w:hAnsi="Palatino Linotype" w:cs="Arial"/>
              </w:rPr>
              <w:t>Comisionado</w:t>
            </w: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(RÚBRICA)</w:t>
            </w:r>
          </w:p>
        </w:tc>
      </w:tr>
      <w:tr w:rsidR="00B32835" w:rsidRPr="005E7982" w:rsidTr="00296821">
        <w:trPr>
          <w:jc w:val="center"/>
        </w:trPr>
        <w:tc>
          <w:tcPr>
            <w:tcW w:w="5182" w:type="dxa"/>
          </w:tcPr>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Javier Martínez Cruz</w:t>
            </w:r>
          </w:p>
          <w:p w:rsidR="00B32835" w:rsidRPr="005E7982" w:rsidRDefault="00B32835" w:rsidP="00296821">
            <w:pPr>
              <w:jc w:val="center"/>
              <w:rPr>
                <w:rFonts w:ascii="Palatino Linotype" w:hAnsi="Palatino Linotype" w:cs="Arial"/>
              </w:rPr>
            </w:pPr>
            <w:r w:rsidRPr="005E7982">
              <w:rPr>
                <w:rFonts w:ascii="Palatino Linotype" w:hAnsi="Palatino Linotype" w:cs="Arial"/>
              </w:rPr>
              <w:t>Comisionado</w:t>
            </w:r>
          </w:p>
          <w:p w:rsidR="00B32835" w:rsidRPr="005E7982" w:rsidRDefault="00B32835" w:rsidP="00296821">
            <w:pPr>
              <w:jc w:val="center"/>
              <w:rPr>
                <w:rFonts w:ascii="Palatino Linotype" w:hAnsi="Palatino Linotype" w:cs="Arial"/>
              </w:rPr>
            </w:pPr>
            <w:r w:rsidRPr="005E7982">
              <w:rPr>
                <w:rFonts w:ascii="Palatino Linotype" w:hAnsi="Palatino Linotype" w:cs="Arial"/>
                <w:b/>
              </w:rPr>
              <w:t>(RÚBRICA)</w:t>
            </w:r>
          </w:p>
        </w:tc>
        <w:tc>
          <w:tcPr>
            <w:tcW w:w="5183" w:type="dxa"/>
          </w:tcPr>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Luis Gustavo Parra Noriega</w:t>
            </w:r>
          </w:p>
          <w:p w:rsidR="00B32835" w:rsidRPr="005E7982" w:rsidRDefault="00B32835" w:rsidP="00296821">
            <w:pPr>
              <w:jc w:val="center"/>
              <w:rPr>
                <w:rFonts w:ascii="Palatino Linotype" w:hAnsi="Palatino Linotype" w:cs="Arial"/>
              </w:rPr>
            </w:pPr>
            <w:r w:rsidRPr="005E7982">
              <w:rPr>
                <w:rFonts w:ascii="Palatino Linotype" w:hAnsi="Palatino Linotype" w:cs="Arial"/>
              </w:rPr>
              <w:t>Comisionado</w:t>
            </w: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(RÚBRICA)</w:t>
            </w:r>
          </w:p>
        </w:tc>
      </w:tr>
      <w:tr w:rsidR="00B32835" w:rsidRPr="005E7982" w:rsidTr="00296821">
        <w:trPr>
          <w:jc w:val="center"/>
        </w:trPr>
        <w:tc>
          <w:tcPr>
            <w:tcW w:w="10365" w:type="dxa"/>
            <w:gridSpan w:val="2"/>
          </w:tcPr>
          <w:p w:rsidR="00B32835" w:rsidRPr="005E7982"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p>
          <w:p w:rsidR="00B32835" w:rsidRPr="005E7982" w:rsidRDefault="00B32835" w:rsidP="00296821">
            <w:pPr>
              <w:jc w:val="center"/>
              <w:rPr>
                <w:rFonts w:ascii="Palatino Linotype" w:hAnsi="Palatino Linotype" w:cs="Arial"/>
                <w:b/>
              </w:rPr>
            </w:pPr>
            <w:r w:rsidRPr="005E7982">
              <w:rPr>
                <w:rFonts w:ascii="Palatino Linotype" w:hAnsi="Palatino Linotype" w:cs="Arial"/>
                <w:b/>
              </w:rPr>
              <w:t>Alexis Tapia Ramírez</w:t>
            </w:r>
          </w:p>
          <w:p w:rsidR="00B32835" w:rsidRPr="005E7982" w:rsidRDefault="00B32835" w:rsidP="00296821">
            <w:pPr>
              <w:jc w:val="center"/>
              <w:rPr>
                <w:rFonts w:ascii="Palatino Linotype" w:hAnsi="Palatino Linotype" w:cs="Arial"/>
              </w:rPr>
            </w:pPr>
            <w:r w:rsidRPr="005E7982">
              <w:rPr>
                <w:rFonts w:ascii="Palatino Linotype" w:hAnsi="Palatino Linotype" w:cs="Arial"/>
              </w:rPr>
              <w:t>Secretario Técnico del Pleno</w:t>
            </w:r>
          </w:p>
          <w:p w:rsidR="00B32835" w:rsidRPr="005E7982" w:rsidRDefault="00B32835" w:rsidP="00296821">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B32835" w:rsidRDefault="00B32835" w:rsidP="00B32835">
      <w:pPr>
        <w:jc w:val="both"/>
        <w:rPr>
          <w:rFonts w:ascii="Palatino Linotype" w:hAnsi="Palatino Linotype" w:cs="Arial"/>
          <w:sz w:val="20"/>
        </w:rPr>
      </w:pPr>
    </w:p>
    <w:p w:rsidR="00B32835" w:rsidRPr="005E7982" w:rsidRDefault="00B32835"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026A84" w:rsidRDefault="00026A84" w:rsidP="00B32835">
      <w:pPr>
        <w:jc w:val="both"/>
        <w:rPr>
          <w:rFonts w:ascii="Palatino Linotype" w:hAnsi="Palatino Linotype" w:cs="Arial"/>
          <w:sz w:val="20"/>
        </w:rPr>
      </w:pPr>
    </w:p>
    <w:p w:rsidR="00B32835" w:rsidRPr="005E7982" w:rsidRDefault="00B32835" w:rsidP="00B32835">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treinta y uno de </w:t>
      </w:r>
      <w:r w:rsidRPr="005E7982">
        <w:rPr>
          <w:rFonts w:ascii="Palatino Linotype" w:hAnsi="Palatino Linotype" w:cs="Arial"/>
          <w:sz w:val="20"/>
        </w:rPr>
        <w:t xml:space="preserve">julio de dos mil diecinueve, emitida en el recurso de revisión </w:t>
      </w:r>
      <w:r w:rsidR="00AB4DDB">
        <w:rPr>
          <w:rFonts w:ascii="Palatino Linotype" w:hAnsi="Palatino Linotype" w:cs="Arial"/>
          <w:sz w:val="20"/>
        </w:rPr>
        <w:t>03212</w:t>
      </w:r>
      <w:r w:rsidRPr="005E7982">
        <w:rPr>
          <w:rFonts w:ascii="Palatino Linotype" w:hAnsi="Palatino Linotype" w:cs="Arial"/>
          <w:sz w:val="20"/>
        </w:rPr>
        <w:t>/INFOEM/IP/RR/2019.</w:t>
      </w:r>
    </w:p>
    <w:p w:rsidR="00C23B43" w:rsidRDefault="00B32835" w:rsidP="00AB4DDB">
      <w:pPr>
        <w:pStyle w:val="Piedepgina"/>
      </w:pPr>
      <w:r w:rsidRPr="005E7982">
        <w:rPr>
          <w:rFonts w:ascii="Palatino Linotype" w:hAnsi="Palatino Linotype" w:cs="Arial"/>
          <w:sz w:val="20"/>
        </w:rPr>
        <w:t>YSM/</w:t>
      </w:r>
      <w:r w:rsidR="00EE2A0C">
        <w:rPr>
          <w:rFonts w:ascii="Palatino Linotype" w:hAnsi="Palatino Linotype" w:cs="Arial"/>
          <w:sz w:val="20"/>
        </w:rPr>
        <w:t>ATU/</w:t>
      </w:r>
      <w:r w:rsidRPr="005E7982">
        <w:rPr>
          <w:rFonts w:ascii="Palatino Linotype" w:hAnsi="Palatino Linotype" w:cs="Arial"/>
          <w:sz w:val="20"/>
        </w:rPr>
        <w:t>AMV</w:t>
      </w:r>
    </w:p>
    <w:sectPr w:rsidR="00C23B43" w:rsidSect="0049240C">
      <w:headerReference w:type="default" r:id="rId13"/>
      <w:footerReference w:type="default" r:id="rId14"/>
      <w:headerReference w:type="first" r:id="rId15"/>
      <w:footerReference w:type="first" r:id="rId16"/>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5AC" w:rsidRDefault="004505AC" w:rsidP="00B32835">
      <w:r>
        <w:separator/>
      </w:r>
    </w:p>
  </w:endnote>
  <w:endnote w:type="continuationSeparator" w:id="0">
    <w:p w:rsidR="004505AC" w:rsidRDefault="004505AC" w:rsidP="00B3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1D" w:rsidRPr="00A2780F" w:rsidRDefault="00EC5B0E" w:rsidP="0034671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0B0E">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0B0E">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1D" w:rsidRDefault="00EC5B0E" w:rsidP="0034671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20B0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20B0E">
      <w:rPr>
        <w:rFonts w:ascii="Arial" w:hAnsi="Arial" w:cs="Arial"/>
        <w:b/>
        <w:bCs/>
        <w:noProof/>
        <w:sz w:val="20"/>
        <w:szCs w:val="20"/>
      </w:rPr>
      <w:t>43</w:t>
    </w:r>
    <w:r w:rsidRPr="00986599">
      <w:rPr>
        <w:rFonts w:ascii="Arial" w:hAnsi="Arial" w:cs="Arial"/>
        <w:b/>
        <w:bCs/>
        <w:sz w:val="20"/>
        <w:szCs w:val="20"/>
      </w:rPr>
      <w:fldChar w:fldCharType="end"/>
    </w:r>
  </w:p>
  <w:p w:rsidR="009D7B1D" w:rsidRPr="00070856" w:rsidRDefault="00820B0E" w:rsidP="0034671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5AC" w:rsidRDefault="004505AC" w:rsidP="00B32835">
      <w:r>
        <w:separator/>
      </w:r>
    </w:p>
  </w:footnote>
  <w:footnote w:type="continuationSeparator" w:id="0">
    <w:p w:rsidR="004505AC" w:rsidRDefault="004505AC" w:rsidP="00B32835">
      <w:r>
        <w:continuationSeparator/>
      </w:r>
    </w:p>
  </w:footnote>
  <w:footnote w:id="1">
    <w:p w:rsidR="00B32835" w:rsidRPr="00F3610E" w:rsidRDefault="00B32835" w:rsidP="00B32835">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B32835" w:rsidRPr="0066020A" w:rsidRDefault="00B32835" w:rsidP="00B32835">
      <w:pPr>
        <w:pStyle w:val="Textonotapie"/>
        <w:jc w:val="both"/>
        <w:rPr>
          <w:rFonts w:ascii="Palatino Linotype" w:hAnsi="Palatino Linotype"/>
          <w:sz w:val="16"/>
          <w:szCs w:val="16"/>
        </w:rPr>
      </w:pPr>
      <w:r>
        <w:rPr>
          <w:rStyle w:val="Refdenotaalpie"/>
        </w:rPr>
        <w:footnoteRef/>
      </w:r>
      <w:r>
        <w:t xml:space="preserve"> </w:t>
      </w:r>
      <w:r w:rsidRPr="0066020A">
        <w:rPr>
          <w:rFonts w:ascii="Palatino Linotype" w:hAnsi="Palatino Linotype"/>
          <w:sz w:val="16"/>
          <w:szCs w:val="16"/>
        </w:rPr>
        <w:t xml:space="preserve">Es importante precisar que, a dicha Cabera Municipal se le denomina por la </w:t>
      </w:r>
      <w:r w:rsidRPr="0066020A">
        <w:rPr>
          <w:rFonts w:ascii="Palatino Linotype" w:hAnsi="Palatino Linotype"/>
          <w:i/>
          <w:sz w:val="16"/>
          <w:szCs w:val="16"/>
        </w:rPr>
        <w:t>vox populi</w:t>
      </w:r>
      <w:r w:rsidRPr="0066020A">
        <w:rPr>
          <w:rFonts w:ascii="Palatino Linotype" w:hAnsi="Palatino Linotype"/>
          <w:sz w:val="16"/>
          <w:szCs w:val="16"/>
        </w:rPr>
        <w:t xml:space="preserve"> como el Centro Histórico del Municipio; razón por la cual, debe considerarse que las Licencias solicitadas que </w:t>
      </w:r>
      <w:r w:rsidRPr="0066020A">
        <w:rPr>
          <w:rFonts w:ascii="Palatino Linotype" w:hAnsi="Palatino Linotype"/>
          <w:b/>
          <w:sz w:val="16"/>
          <w:szCs w:val="16"/>
        </w:rPr>
        <w:t xml:space="preserve">EL SUJETO OBLIGADO </w:t>
      </w:r>
      <w:r w:rsidRPr="0066020A">
        <w:rPr>
          <w:rFonts w:ascii="Palatino Linotype" w:hAnsi="Palatino Linotype"/>
          <w:sz w:val="16"/>
          <w:szCs w:val="16"/>
        </w:rPr>
        <w:t xml:space="preserve">deberá entregar corresponderán a los establecimientos ubicados en esos seis barrios que integran la Cabecera Municipal.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1D" w:rsidRPr="00BD798B" w:rsidRDefault="00820B0E" w:rsidP="00346718">
    <w:pPr>
      <w:pStyle w:val="Encabezado"/>
      <w:tabs>
        <w:tab w:val="clear" w:pos="4252"/>
        <w:tab w:val="clear" w:pos="8504"/>
        <w:tab w:val="left" w:pos="2326"/>
      </w:tabs>
      <w:rPr>
        <w:rFonts w:ascii="Palatino Linotype" w:hAnsi="Palatino Linotype"/>
        <w:sz w:val="18"/>
        <w:szCs w:val="22"/>
      </w:rPr>
    </w:pPr>
  </w:p>
  <w:tbl>
    <w:tblPr>
      <w:tblW w:w="9606" w:type="dxa"/>
      <w:tblInd w:w="-142" w:type="dxa"/>
      <w:tblLayout w:type="fixed"/>
      <w:tblLook w:val="04A0" w:firstRow="1" w:lastRow="0" w:firstColumn="1" w:lastColumn="0" w:noHBand="0" w:noVBand="1"/>
    </w:tblPr>
    <w:tblGrid>
      <w:gridCol w:w="3686"/>
      <w:gridCol w:w="2943"/>
      <w:gridCol w:w="2977"/>
    </w:tblGrid>
    <w:tr w:rsidR="009D7B1D" w:rsidRPr="007769F3" w:rsidTr="0049240C">
      <w:tc>
        <w:tcPr>
          <w:tcW w:w="3686" w:type="dxa"/>
        </w:tcPr>
        <w:p w:rsidR="009D7B1D" w:rsidRPr="007769F3" w:rsidRDefault="00820B0E" w:rsidP="00346718">
          <w:pPr>
            <w:rPr>
              <w:rFonts w:ascii="Palatino Linotype" w:hAnsi="Palatino Linotype"/>
              <w:b/>
              <w:lang w:val="es-ES_tradnl"/>
            </w:rPr>
          </w:pPr>
        </w:p>
      </w:tc>
      <w:tc>
        <w:tcPr>
          <w:tcW w:w="2943" w:type="dxa"/>
          <w:shd w:val="clear" w:color="auto" w:fill="auto"/>
        </w:tcPr>
        <w:p w:rsidR="009D7B1D" w:rsidRPr="007769F3" w:rsidRDefault="00EC5B0E" w:rsidP="00346718">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9D7B1D" w:rsidRPr="007769F3" w:rsidRDefault="00EC5B0E" w:rsidP="003D0A01">
          <w:pPr>
            <w:jc w:val="both"/>
            <w:rPr>
              <w:rFonts w:ascii="Palatino Linotype" w:hAnsi="Palatino Linotype"/>
              <w:b/>
              <w:lang w:val="es-ES_tradnl"/>
            </w:rPr>
          </w:pPr>
          <w:r>
            <w:rPr>
              <w:rFonts w:ascii="Palatino Linotype" w:hAnsi="Palatino Linotype"/>
              <w:b/>
              <w:sz w:val="22"/>
              <w:szCs w:val="22"/>
              <w:lang w:val="es-ES_tradnl"/>
            </w:rPr>
            <w:t>03212/INFOEM/IP/RR/2019</w:t>
          </w:r>
        </w:p>
      </w:tc>
    </w:tr>
    <w:tr w:rsidR="009D7B1D" w:rsidRPr="007769F3" w:rsidTr="0049240C">
      <w:tc>
        <w:tcPr>
          <w:tcW w:w="3686" w:type="dxa"/>
        </w:tcPr>
        <w:p w:rsidR="009D7B1D" w:rsidRPr="007769F3" w:rsidRDefault="00820B0E" w:rsidP="00346718">
          <w:pPr>
            <w:rPr>
              <w:rFonts w:ascii="Palatino Linotype" w:hAnsi="Palatino Linotype"/>
              <w:b/>
              <w:lang w:val="es-ES_tradnl"/>
            </w:rPr>
          </w:pPr>
        </w:p>
      </w:tc>
      <w:tc>
        <w:tcPr>
          <w:tcW w:w="2943" w:type="dxa"/>
          <w:shd w:val="clear" w:color="auto" w:fill="auto"/>
        </w:tcPr>
        <w:p w:rsidR="009D7B1D" w:rsidRPr="007769F3" w:rsidRDefault="00EC5B0E" w:rsidP="00346718">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9D7B1D" w:rsidRPr="007769F3" w:rsidRDefault="00EC5B0E" w:rsidP="00346718">
          <w:pPr>
            <w:ind w:right="34"/>
            <w:jc w:val="both"/>
            <w:rPr>
              <w:rFonts w:ascii="Palatino Linotype" w:hAnsi="Palatino Linotype"/>
              <w:b/>
            </w:rPr>
          </w:pPr>
          <w:r>
            <w:rPr>
              <w:rFonts w:ascii="Palatino Linotype" w:hAnsi="Palatino Linotype"/>
              <w:b/>
              <w:sz w:val="22"/>
              <w:szCs w:val="22"/>
              <w:lang w:val="es-ES_tradnl"/>
            </w:rPr>
            <w:t>Ayuntamiento de Metepec</w:t>
          </w:r>
        </w:p>
      </w:tc>
    </w:tr>
    <w:tr w:rsidR="009D7B1D" w:rsidRPr="007769F3" w:rsidTr="0049240C">
      <w:trPr>
        <w:trHeight w:val="228"/>
      </w:trPr>
      <w:tc>
        <w:tcPr>
          <w:tcW w:w="3686" w:type="dxa"/>
        </w:tcPr>
        <w:p w:rsidR="009D7B1D" w:rsidRPr="007769F3" w:rsidRDefault="00820B0E" w:rsidP="00346718">
          <w:pPr>
            <w:rPr>
              <w:rFonts w:ascii="Palatino Linotype" w:hAnsi="Palatino Linotype"/>
              <w:b/>
              <w:lang w:val="es-ES_tradnl"/>
            </w:rPr>
          </w:pPr>
        </w:p>
      </w:tc>
      <w:tc>
        <w:tcPr>
          <w:tcW w:w="2943" w:type="dxa"/>
          <w:shd w:val="clear" w:color="auto" w:fill="auto"/>
        </w:tcPr>
        <w:p w:rsidR="009D7B1D" w:rsidRPr="007769F3" w:rsidRDefault="00EC5B0E" w:rsidP="00346718">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9D7B1D" w:rsidRPr="007769F3" w:rsidRDefault="00EC5B0E" w:rsidP="00346718">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9D7B1D" w:rsidRPr="00BD798B" w:rsidRDefault="00820B0E" w:rsidP="00346718">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B1D" w:rsidRPr="00463339" w:rsidRDefault="00820B0E" w:rsidP="00346718">
    <w:pPr>
      <w:tabs>
        <w:tab w:val="left" w:pos="9072"/>
      </w:tabs>
      <w:ind w:right="-377"/>
      <w:rPr>
        <w:rFonts w:ascii="Palatino Linotype" w:hAnsi="Palatino Linotype"/>
        <w:sz w:val="16"/>
        <w:szCs w:val="20"/>
      </w:rPr>
    </w:pPr>
  </w:p>
  <w:tbl>
    <w:tblPr>
      <w:tblW w:w="9213" w:type="dxa"/>
      <w:tblInd w:w="534" w:type="dxa"/>
      <w:tblLayout w:type="fixed"/>
      <w:tblLook w:val="04A0" w:firstRow="1" w:lastRow="0" w:firstColumn="1" w:lastColumn="0" w:noHBand="0" w:noVBand="1"/>
    </w:tblPr>
    <w:tblGrid>
      <w:gridCol w:w="2835"/>
      <w:gridCol w:w="2976"/>
      <w:gridCol w:w="3402"/>
    </w:tblGrid>
    <w:tr w:rsidR="009D7B1D" w:rsidRPr="008F2CCC" w:rsidTr="0049240C">
      <w:tc>
        <w:tcPr>
          <w:tcW w:w="2835" w:type="dxa"/>
          <w:vMerge w:val="restart"/>
        </w:tcPr>
        <w:p w:rsidR="009D7B1D" w:rsidRPr="008F2CCC" w:rsidRDefault="00820B0E" w:rsidP="00346718">
          <w:pPr>
            <w:ind w:right="34"/>
            <w:rPr>
              <w:rFonts w:ascii="Palatino Linotype" w:hAnsi="Palatino Linotype"/>
              <w:b/>
              <w:lang w:val="es-ES_tradnl"/>
            </w:rPr>
          </w:pPr>
        </w:p>
      </w:tc>
      <w:tc>
        <w:tcPr>
          <w:tcW w:w="2976" w:type="dxa"/>
          <w:shd w:val="clear" w:color="auto" w:fill="auto"/>
        </w:tcPr>
        <w:p w:rsidR="009D7B1D" w:rsidRPr="008F2CCC" w:rsidRDefault="00EC5B0E" w:rsidP="00346718">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9D7B1D" w:rsidRPr="008F2CCC" w:rsidRDefault="00EC5B0E" w:rsidP="004C1DCD">
          <w:pPr>
            <w:jc w:val="both"/>
            <w:rPr>
              <w:rFonts w:ascii="Palatino Linotype" w:hAnsi="Palatino Linotype"/>
              <w:b/>
              <w:lang w:val="es-ES_tradnl"/>
            </w:rPr>
          </w:pPr>
          <w:r>
            <w:rPr>
              <w:rFonts w:ascii="Palatino Linotype" w:hAnsi="Palatino Linotype"/>
              <w:b/>
              <w:sz w:val="22"/>
              <w:szCs w:val="22"/>
              <w:lang w:val="es-ES_tradnl"/>
            </w:rPr>
            <w:t>03212/INFOEM/IP/RR/2019</w:t>
          </w:r>
        </w:p>
      </w:tc>
    </w:tr>
    <w:tr w:rsidR="009D7B1D" w:rsidRPr="008F2CCC" w:rsidTr="0049240C">
      <w:tc>
        <w:tcPr>
          <w:tcW w:w="2835" w:type="dxa"/>
          <w:vMerge/>
        </w:tcPr>
        <w:p w:rsidR="009D7B1D" w:rsidRPr="008F2CCC" w:rsidRDefault="00820B0E" w:rsidP="00346718">
          <w:pPr>
            <w:rPr>
              <w:rFonts w:ascii="Palatino Linotype" w:hAnsi="Palatino Linotype"/>
              <w:b/>
              <w:lang w:val="es-ES_tradnl"/>
            </w:rPr>
          </w:pPr>
        </w:p>
      </w:tc>
      <w:tc>
        <w:tcPr>
          <w:tcW w:w="2976" w:type="dxa"/>
          <w:shd w:val="clear" w:color="auto" w:fill="auto"/>
        </w:tcPr>
        <w:p w:rsidR="009D7B1D" w:rsidRPr="008F2CCC" w:rsidRDefault="00EC5B0E" w:rsidP="00346718">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9D7B1D" w:rsidRPr="008F2CCC" w:rsidRDefault="0028133F" w:rsidP="0028133F">
          <w:pPr>
            <w:ind w:left="34" w:right="34"/>
            <w:jc w:val="both"/>
            <w:rPr>
              <w:rFonts w:ascii="Palatino Linotype" w:hAnsi="Palatino Linotype"/>
              <w:b/>
              <w:lang w:val="es-ES_tradnl"/>
            </w:rPr>
          </w:pPr>
          <w:r>
            <w:rPr>
              <w:rFonts w:ascii="Palatino Linotype" w:hAnsi="Palatino Linotype"/>
              <w:b/>
              <w:sz w:val="22"/>
              <w:szCs w:val="22"/>
              <w:lang w:val="es-ES_tradnl"/>
            </w:rPr>
            <w:t>XXXXX XXXXX XXXXX</w:t>
          </w:r>
        </w:p>
      </w:tc>
    </w:tr>
    <w:tr w:rsidR="009D7B1D" w:rsidRPr="008F2CCC" w:rsidTr="0049240C">
      <w:trPr>
        <w:trHeight w:val="228"/>
      </w:trPr>
      <w:tc>
        <w:tcPr>
          <w:tcW w:w="2835" w:type="dxa"/>
          <w:vMerge/>
        </w:tcPr>
        <w:p w:rsidR="009D7B1D" w:rsidRPr="008F2CCC" w:rsidRDefault="00820B0E" w:rsidP="00346718">
          <w:pPr>
            <w:rPr>
              <w:rFonts w:ascii="Palatino Linotype" w:hAnsi="Palatino Linotype"/>
              <w:b/>
              <w:lang w:val="es-ES_tradnl"/>
            </w:rPr>
          </w:pPr>
        </w:p>
      </w:tc>
      <w:tc>
        <w:tcPr>
          <w:tcW w:w="2976" w:type="dxa"/>
          <w:shd w:val="clear" w:color="auto" w:fill="auto"/>
        </w:tcPr>
        <w:p w:rsidR="009D7B1D" w:rsidRPr="008F2CCC" w:rsidRDefault="00EC5B0E" w:rsidP="00346718">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9D7B1D" w:rsidRPr="004C1DCD" w:rsidRDefault="00EC5B0E" w:rsidP="00346718">
          <w:pPr>
            <w:jc w:val="both"/>
            <w:rPr>
              <w:rFonts w:ascii="Palatino Linotype" w:hAnsi="Palatino Linotype"/>
              <w:b/>
              <w:lang w:val="es-ES_tradnl"/>
            </w:rPr>
          </w:pPr>
          <w:r>
            <w:rPr>
              <w:rFonts w:ascii="Palatino Linotype" w:hAnsi="Palatino Linotype"/>
              <w:b/>
              <w:sz w:val="22"/>
              <w:szCs w:val="22"/>
              <w:lang w:val="es-ES_tradnl"/>
            </w:rPr>
            <w:t>Ayuntamiento de Metepec</w:t>
          </w:r>
        </w:p>
      </w:tc>
    </w:tr>
    <w:tr w:rsidR="009D7B1D" w:rsidRPr="008F2CCC" w:rsidTr="0049240C">
      <w:tc>
        <w:tcPr>
          <w:tcW w:w="2835" w:type="dxa"/>
          <w:vMerge/>
        </w:tcPr>
        <w:p w:rsidR="009D7B1D" w:rsidRPr="008F2CCC" w:rsidRDefault="00820B0E" w:rsidP="00346718">
          <w:pPr>
            <w:rPr>
              <w:rFonts w:ascii="Palatino Linotype" w:hAnsi="Palatino Linotype"/>
              <w:b/>
              <w:lang w:val="es-ES_tradnl"/>
            </w:rPr>
          </w:pPr>
        </w:p>
      </w:tc>
      <w:tc>
        <w:tcPr>
          <w:tcW w:w="2976" w:type="dxa"/>
          <w:shd w:val="clear" w:color="auto" w:fill="auto"/>
        </w:tcPr>
        <w:p w:rsidR="009D7B1D" w:rsidRPr="008F2CCC" w:rsidRDefault="00EC5B0E" w:rsidP="00346718">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9D7B1D" w:rsidRPr="008F2CCC" w:rsidRDefault="00EC5B0E" w:rsidP="00346718">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D7B1D" w:rsidRPr="00463339" w:rsidRDefault="00820B0E" w:rsidP="00346718">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BF204B"/>
    <w:multiLevelType w:val="hybridMultilevel"/>
    <w:tmpl w:val="39F02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835"/>
    <w:rsid w:val="00017760"/>
    <w:rsid w:val="00026A84"/>
    <w:rsid w:val="000E6562"/>
    <w:rsid w:val="001C0D68"/>
    <w:rsid w:val="002348F5"/>
    <w:rsid w:val="0028133F"/>
    <w:rsid w:val="004505AC"/>
    <w:rsid w:val="0057377E"/>
    <w:rsid w:val="00612276"/>
    <w:rsid w:val="0061521D"/>
    <w:rsid w:val="00694216"/>
    <w:rsid w:val="00820B0E"/>
    <w:rsid w:val="00A51091"/>
    <w:rsid w:val="00AB4DDB"/>
    <w:rsid w:val="00B02142"/>
    <w:rsid w:val="00B32835"/>
    <w:rsid w:val="00C23B43"/>
    <w:rsid w:val="00C47BA2"/>
    <w:rsid w:val="00C9714C"/>
    <w:rsid w:val="00D54F5D"/>
    <w:rsid w:val="00EA03C6"/>
    <w:rsid w:val="00EC5B0E"/>
    <w:rsid w:val="00EE2A0C"/>
    <w:rsid w:val="00F13A12"/>
    <w:rsid w:val="00FD16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02267D-6934-4B26-8EAF-A535456E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83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283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32835"/>
    <w:rPr>
      <w:rFonts w:eastAsiaTheme="minorEastAsia"/>
      <w:sz w:val="24"/>
      <w:szCs w:val="24"/>
      <w:lang w:val="es-ES_tradnl" w:eastAsia="es-ES"/>
    </w:rPr>
  </w:style>
  <w:style w:type="paragraph" w:styleId="Piedepgina">
    <w:name w:val="footer"/>
    <w:basedOn w:val="Normal"/>
    <w:link w:val="PiedepginaCar"/>
    <w:uiPriority w:val="99"/>
    <w:unhideWhenUsed/>
    <w:rsid w:val="00B3283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3283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283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32835"/>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B3283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3283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32835"/>
    <w:rPr>
      <w:sz w:val="20"/>
      <w:szCs w:val="20"/>
    </w:rPr>
  </w:style>
  <w:style w:type="character" w:customStyle="1" w:styleId="d">
    <w:name w:val="d"/>
    <w:basedOn w:val="Fuentedeprrafopredeter"/>
    <w:rsid w:val="00B32835"/>
  </w:style>
  <w:style w:type="paragraph" w:customStyle="1" w:styleId="paragraph">
    <w:name w:val="paragraph"/>
    <w:basedOn w:val="Normal"/>
    <w:rsid w:val="00B32835"/>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Textodeglobo">
    <w:name w:val="Balloon Text"/>
    <w:basedOn w:val="Normal"/>
    <w:link w:val="TextodegloboCar"/>
    <w:uiPriority w:val="99"/>
    <w:semiHidden/>
    <w:unhideWhenUsed/>
    <w:rsid w:val="001C0D6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0D68"/>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21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43</Pages>
  <Words>12316</Words>
  <Characters>67743</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2019-07-10T23:12:00Z</cp:lastPrinted>
  <dcterms:created xsi:type="dcterms:W3CDTF">2019-07-12T00:41:00Z</dcterms:created>
  <dcterms:modified xsi:type="dcterms:W3CDTF">2019-09-02T15:08:00Z</dcterms:modified>
</cp:coreProperties>
</file>